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w:t>
      </w:r>
      <w:r>
        <w:rPr>
          <w:rFonts w:hint="eastAsia" w:eastAsia="宋体"/>
          <w:sz w:val="22"/>
          <w:szCs w:val="22"/>
          <w:lang w:val="en-US" w:eastAsia="zh-CN"/>
        </w:rPr>
        <w:t xml:space="preserve">6     </w:t>
      </w:r>
      <w:bookmarkStart w:id="24" w:name="_GoBack"/>
      <w:bookmarkEnd w:id="24"/>
      <w:r>
        <w:rPr>
          <w:sz w:val="22"/>
          <w:szCs w:val="22"/>
          <w:lang w:val="en-GB"/>
        </w:rPr>
        <w:t xml:space="preserve">                                         </w:t>
      </w:r>
      <w:r>
        <w:rPr>
          <w:rFonts w:hint="eastAsia" w:eastAsia="宋体"/>
          <w:sz w:val="22"/>
          <w:szCs w:val="22"/>
          <w:lang w:val="en-GB"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w:t>
      </w:r>
      <w:r>
        <w:rPr>
          <w:rFonts w:hint="eastAsia" w:eastAsia="宋体"/>
          <w:sz w:val="22"/>
          <w:szCs w:val="22"/>
          <w:lang w:val="en-GB" w:eastAsia="zh-CN"/>
        </w:rPr>
        <w:t>90</w:t>
      </w:r>
      <w:r>
        <w:rPr>
          <w:rFonts w:eastAsia="宋体"/>
          <w:sz w:val="22"/>
          <w:szCs w:val="22"/>
          <w:lang w:val="en-GB" w:eastAsia="zh-CN"/>
        </w:rPr>
        <w:t>5749</w:t>
      </w:r>
    </w:p>
    <w:p>
      <w:pPr>
        <w:pStyle w:val="17"/>
        <w:rPr>
          <w:lang w:val="en-GB"/>
        </w:rPr>
      </w:pPr>
      <w:r>
        <w:rPr>
          <w:rFonts w:eastAsia="宋体"/>
          <w:sz w:val="22"/>
          <w:szCs w:val="22"/>
          <w:lang w:val="en-GB" w:eastAsia="zh-CN"/>
        </w:rPr>
        <w:t>Reno, USA, 13</w:t>
      </w:r>
      <w:r>
        <w:rPr>
          <w:sz w:val="22"/>
          <w:szCs w:val="22"/>
          <w:vertAlign w:val="superscript"/>
          <w:lang w:val="en-GB"/>
        </w:rPr>
        <w:t>th</w:t>
      </w:r>
      <w:r>
        <w:rPr>
          <w:rFonts w:hint="eastAsia" w:eastAsia="宋体"/>
          <w:sz w:val="22"/>
          <w:szCs w:val="22"/>
          <w:lang w:val="en-GB" w:eastAsia="zh-CN"/>
        </w:rPr>
        <w:t xml:space="preserve"> </w:t>
      </w:r>
      <w:r>
        <w:rPr>
          <w:rFonts w:hint="eastAsia" w:eastAsia="宋体"/>
          <w:sz w:val="22"/>
          <w:szCs w:val="22"/>
          <w:lang w:val="en-US" w:eastAsia="zh-CN"/>
        </w:rPr>
        <w:t xml:space="preserve">May </w:t>
      </w:r>
      <w:r>
        <w:rPr>
          <w:rFonts w:eastAsia="宋体"/>
          <w:sz w:val="22"/>
          <w:szCs w:val="22"/>
          <w:lang w:val="en-GB" w:eastAsia="zh-CN"/>
        </w:rPr>
        <w:t xml:space="preserve">- </w:t>
      </w:r>
      <w:r>
        <w:rPr>
          <w:rFonts w:hint="eastAsia" w:eastAsia="宋体"/>
          <w:sz w:val="22"/>
          <w:szCs w:val="22"/>
          <w:lang w:val="en-GB" w:eastAsia="zh-CN"/>
        </w:rPr>
        <w:t>1</w:t>
      </w:r>
      <w:r>
        <w:rPr>
          <w:rFonts w:eastAsia="宋体"/>
          <w:sz w:val="22"/>
          <w:szCs w:val="22"/>
          <w:lang w:val="en-GB" w:eastAsia="zh-CN"/>
        </w:rPr>
        <w:t>7</w:t>
      </w:r>
      <w:r>
        <w:rPr>
          <w:rFonts w:hint="eastAsia" w:eastAsia="宋体"/>
          <w:sz w:val="22"/>
          <w:szCs w:val="22"/>
          <w:vertAlign w:val="superscript"/>
          <w:lang w:val="en-GB" w:eastAsia="zh-CN"/>
        </w:rPr>
        <w:t>t</w:t>
      </w:r>
      <w:r>
        <w:rPr>
          <w:rFonts w:eastAsia="宋体"/>
          <w:sz w:val="22"/>
          <w:szCs w:val="22"/>
          <w:vertAlign w:val="superscript"/>
          <w:lang w:val="en-GB" w:eastAsia="zh-CN"/>
        </w:rPr>
        <w:t>h</w:t>
      </w:r>
      <w:r>
        <w:rPr>
          <w:rFonts w:hint="eastAsia" w:eastAsia="宋体"/>
          <w:sz w:val="22"/>
          <w:szCs w:val="22"/>
          <w:lang w:val="en-GB" w:eastAsia="zh-CN"/>
        </w:rPr>
        <w:t xml:space="preserve"> </w:t>
      </w:r>
      <w:r>
        <w:rPr>
          <w:rFonts w:eastAsia="宋体"/>
          <w:sz w:val="22"/>
          <w:szCs w:val="22"/>
          <w:lang w:val="en-GB" w:eastAsia="zh-CN"/>
        </w:rPr>
        <w:t>May</w:t>
      </w:r>
      <w:r>
        <w:rPr>
          <w:rFonts w:hint="eastAsia" w:eastAsia="宋体"/>
          <w:sz w:val="22"/>
          <w:szCs w:val="22"/>
          <w:lang w:val="en-GB" w:eastAsia="zh-CN"/>
        </w:rPr>
        <w:t xml:space="preserve"> </w:t>
      </w:r>
      <w:r>
        <w:rPr>
          <w:sz w:val="22"/>
          <w:szCs w:val="22"/>
          <w:lang w:val="en-GB"/>
        </w:rPr>
        <w:t xml:space="preserve">2019               </w:t>
      </w:r>
      <w:r>
        <w:rPr>
          <w:rFonts w:hint="eastAsia" w:eastAsia="宋体"/>
          <w:sz w:val="22"/>
          <w:szCs w:val="22"/>
          <w:lang w:val="en-US" w:eastAsia="zh-CN"/>
        </w:rPr>
        <w:t xml:space="preserve">       </w:t>
      </w:r>
      <w:r>
        <w:rPr>
          <w:sz w:val="22"/>
          <w:szCs w:val="22"/>
          <w:lang w:val="en-GB"/>
        </w:rPr>
        <w:t xml:space="preserve">                 </w:t>
      </w:r>
      <w:r>
        <w:rPr>
          <w:i/>
          <w:szCs w:val="22"/>
          <w:lang w:val="en-GB"/>
        </w:rPr>
        <w:t>revision of R2-1903140</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Dynamic leg selection with CA-only duplication</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w:t>
      </w:r>
      <w:r>
        <w:rPr>
          <w:rFonts w:eastAsia="宋体" w:cs="Arial"/>
          <w:sz w:val="22"/>
          <w:szCs w:val="22"/>
          <w:lang w:eastAsia="zh-CN"/>
        </w:rPr>
        <w:t>4</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1"/>
      <w:bookmarkStart w:id="5" w:name="OLE_LINK2"/>
      <w:r>
        <w:rPr>
          <w:rFonts w:eastAsia="宋体"/>
          <w:lang w:eastAsia="zh-CN"/>
        </w:rPr>
        <w:t>The study item “</w:t>
      </w:r>
      <w:r>
        <w:t>Study on NR Industrial Internet of Things (IIoT)</w:t>
      </w:r>
      <w:r>
        <w:rPr>
          <w:rFonts w:eastAsia="宋体"/>
          <w:lang w:eastAsia="zh-CN"/>
        </w:rPr>
        <w:t>”</w:t>
      </w:r>
      <w:r>
        <w:rPr>
          <w:rFonts w:hint="eastAsia" w:eastAsia="宋体"/>
          <w:lang w:eastAsia="zh-CN"/>
        </w:rPr>
        <w:t xml:space="preserve"> </w:t>
      </w:r>
      <w:r>
        <w:rPr>
          <w:rFonts w:eastAsia="宋体"/>
          <w:lang w:eastAsia="zh-CN"/>
        </w:rPr>
        <w:t xml:space="preserve">was completed at RAN2#105 meeting and the final TR </w:t>
      </w:r>
      <w:r>
        <w:rPr>
          <w:rFonts w:eastAsia="宋体"/>
          <w:lang w:eastAsia="zh-CN"/>
        </w:rPr>
        <w:fldChar w:fldCharType="begin"/>
      </w:r>
      <w:r>
        <w:rPr>
          <w:rFonts w:eastAsia="宋体"/>
          <w:lang w:eastAsia="zh-CN"/>
        </w:rPr>
        <w:instrText xml:space="preserve"> REF _Ref3879359 \r \h </w:instrText>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captures the conclusions related to PDCP duplication enhancements as follows:</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4"/>
              <w:keepLines/>
              <w:spacing w:before="180" w:after="180"/>
              <w:ind w:left="1134" w:hanging="1134"/>
              <w:rPr>
                <w:rFonts w:eastAsia="Times New Roman" w:cs="Times New Roman"/>
                <w:b w:val="0"/>
                <w:bCs w:val="0"/>
                <w:iCs w:val="0"/>
                <w:sz w:val="32"/>
                <w:szCs w:val="20"/>
                <w:lang w:val="en-GB" w:eastAsia="en-US"/>
              </w:rPr>
            </w:pPr>
            <w:bookmarkStart w:id="6" w:name="_Toc2627994"/>
            <w:bookmarkStart w:id="7" w:name="_Toc528239031"/>
            <w:bookmarkStart w:id="8" w:name="_Toc2934374"/>
            <w:r>
              <w:rPr>
                <w:rFonts w:eastAsia="Times New Roman" w:cs="Times New Roman"/>
                <w:b w:val="0"/>
                <w:bCs w:val="0"/>
                <w:iCs w:val="0"/>
                <w:sz w:val="32"/>
                <w:szCs w:val="20"/>
                <w:lang w:val="en-GB" w:eastAsia="en-US"/>
              </w:rPr>
              <w:t>4.2</w:t>
            </w:r>
            <w:r>
              <w:rPr>
                <w:rFonts w:eastAsia="Times New Roman" w:cs="Times New Roman"/>
                <w:b w:val="0"/>
                <w:bCs w:val="0"/>
                <w:iCs w:val="0"/>
                <w:sz w:val="32"/>
                <w:szCs w:val="20"/>
                <w:lang w:val="en-GB" w:eastAsia="en-US"/>
              </w:rPr>
              <w:tab/>
            </w:r>
            <w:r>
              <w:rPr>
                <w:rFonts w:eastAsia="Times New Roman" w:cs="Times New Roman"/>
                <w:b w:val="0"/>
                <w:bCs w:val="0"/>
                <w:iCs w:val="0"/>
                <w:sz w:val="32"/>
                <w:szCs w:val="20"/>
                <w:lang w:val="en-GB" w:eastAsia="en-US"/>
              </w:rPr>
              <w:t>Enhancements to PDCP duplication</w:t>
            </w:r>
            <w:bookmarkEnd w:id="6"/>
            <w:bookmarkEnd w:id="7"/>
            <w:bookmarkEnd w:id="8"/>
          </w:p>
          <w:p>
            <w:pPr>
              <w:pStyle w:val="5"/>
              <w:keepLines/>
              <w:spacing w:before="120" w:after="180"/>
              <w:ind w:left="1134" w:hanging="1134"/>
              <w:rPr>
                <w:rFonts w:eastAsia="Times New Roman" w:cs="Times New Roman"/>
                <w:b w:val="0"/>
                <w:bCs w:val="0"/>
                <w:sz w:val="28"/>
                <w:szCs w:val="20"/>
                <w:lang w:val="en-GB"/>
              </w:rPr>
            </w:pPr>
            <w:bookmarkStart w:id="9" w:name="_Toc528239032"/>
            <w:bookmarkStart w:id="10" w:name="_Toc2934375"/>
            <w:bookmarkStart w:id="11" w:name="_Toc2627995"/>
            <w:r>
              <w:rPr>
                <w:rFonts w:eastAsia="Times New Roman" w:cs="Times New Roman"/>
                <w:b w:val="0"/>
                <w:bCs w:val="0"/>
                <w:sz w:val="28"/>
                <w:szCs w:val="20"/>
                <w:lang w:val="en-GB"/>
              </w:rPr>
              <w:t>4.2.1</w:t>
            </w:r>
            <w:r>
              <w:rPr>
                <w:rFonts w:eastAsia="Times New Roman" w:cs="Times New Roman"/>
                <w:b w:val="0"/>
                <w:bCs w:val="0"/>
                <w:sz w:val="28"/>
                <w:szCs w:val="20"/>
                <w:lang w:val="en-GB"/>
              </w:rPr>
              <w:tab/>
            </w:r>
            <w:r>
              <w:rPr>
                <w:rFonts w:eastAsia="Times New Roman" w:cs="Times New Roman"/>
                <w:b w:val="0"/>
                <w:bCs w:val="0"/>
                <w:sz w:val="28"/>
                <w:szCs w:val="20"/>
                <w:lang w:val="en-GB"/>
              </w:rPr>
              <w:t>Protocol aspects</w:t>
            </w:r>
            <w:bookmarkEnd w:id="9"/>
            <w:bookmarkEnd w:id="10"/>
            <w:bookmarkEnd w:id="11"/>
          </w:p>
          <w:p>
            <w:pPr>
              <w:spacing w:after="180"/>
              <w:rPr>
                <w:szCs w:val="20"/>
                <w:lang w:val="en-GB"/>
              </w:rPr>
            </w:pPr>
            <w:r>
              <w:rPr>
                <w:szCs w:val="20"/>
                <w:lang w:val="en-GB"/>
              </w:rPr>
              <w:t xml:space="preserve">In PDCP duplication, the PDCP entity delivers duplicate PDCP PDUs to more than one RLC entity. </w:t>
            </w:r>
          </w:p>
          <w:p>
            <w:pPr>
              <w:spacing w:after="180"/>
              <w:rPr>
                <w:szCs w:val="20"/>
                <w:lang w:val="en-GB"/>
              </w:rPr>
            </w:pPr>
            <w:r>
              <w:rPr>
                <w:szCs w:val="20"/>
                <w:lang w:val="en-GB"/>
              </w:rP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pPr>
              <w:spacing w:after="180"/>
              <w:rPr>
                <w:szCs w:val="20"/>
                <w:lang w:val="en-GB"/>
              </w:rPr>
            </w:pPr>
            <w:r>
              <w:rPr>
                <w:szCs w:val="20"/>
                <w:highlight w:val="yellow"/>
                <w:lang w:val="en-GB"/>
              </w:rPr>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w:t>
            </w:r>
            <w:r>
              <w:rPr>
                <w:szCs w:val="20"/>
                <w:lang w:val="en-GB"/>
              </w:rPr>
              <w:t>.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pPr>
              <w:spacing w:after="180"/>
              <w:rPr>
                <w:szCs w:val="20"/>
                <w:lang w:val="en-GB"/>
              </w:rPr>
            </w:pPr>
            <w:r>
              <w:rPr>
                <w:szCs w:val="20"/>
                <w:lang w:val="en-GB"/>
              </w:rPr>
              <w:t xml:space="preserve">RRC configuration can be used to initially configure UEs of a set of RLC entities or legs; for where </w:t>
            </w:r>
            <w:r>
              <w:rPr>
                <w:szCs w:val="20"/>
                <w:highlight w:val="yellow"/>
                <w:lang w:val="en-GB"/>
              </w:rPr>
              <w:t>the NW can dynamically control how configured RLC entities or legs are activated and used for duplicate transmission using signalling such as MAC CE</w:t>
            </w:r>
            <w:r>
              <w:rPr>
                <w:szCs w:val="20"/>
                <w:lang w:val="en-GB"/>
              </w:rPr>
              <w:t>. Dynamic selection of RLC entities or legs may possibly also be made using other methods, for example UE based.</w:t>
            </w:r>
          </w:p>
          <w:p>
            <w:pPr>
              <w:spacing w:after="180"/>
              <w:rPr>
                <w:szCs w:val="20"/>
                <w:lang w:val="en-GB"/>
              </w:rPr>
            </w:pPr>
            <w:r>
              <w:rPr>
                <w:szCs w:val="20"/>
                <w:highlight w:val="yellow"/>
                <w:lang w:val="en-GB"/>
              </w:rPr>
              <w:t>PDCP duplication enhancements are applicable to CA, DC (NR only) and DC+CA (NR Only)</w:t>
            </w:r>
            <w:r>
              <w:rPr>
                <w:szCs w:val="20"/>
                <w:lang w:val="en-GB"/>
              </w:rPr>
              <w:t>. LTE enhancements are not considered in this SI.</w:t>
            </w:r>
          </w:p>
          <w:p>
            <w:pPr>
              <w:pStyle w:val="3"/>
              <w:rPr>
                <w:rFonts w:eastAsia="宋体"/>
                <w:lang w:eastAsia="zh-CN"/>
              </w:rPr>
            </w:pPr>
            <w:r>
              <w:rPr>
                <w:rFonts w:eastAsia="宋体"/>
                <w:lang w:eastAsia="zh-CN"/>
              </w:rPr>
              <w:t>[…]</w:t>
            </w:r>
          </w:p>
        </w:tc>
      </w:tr>
    </w:tbl>
    <w:p>
      <w:pPr>
        <w:pStyle w:val="3"/>
        <w:rPr>
          <w:rFonts w:eastAsia="宋体"/>
          <w:lang w:eastAsia="zh-CN"/>
        </w:rPr>
      </w:pPr>
      <w:r>
        <w:rPr>
          <w:rFonts w:eastAsia="宋体"/>
          <w:lang w:eastAsia="zh-CN"/>
        </w:rPr>
        <w:t xml:space="preserve">A follow-up WI was approved in RAN#83 </w:t>
      </w:r>
      <w:r>
        <w:rPr>
          <w:rFonts w:eastAsia="宋体"/>
          <w:lang w:eastAsia="zh-CN"/>
        </w:rPr>
        <w:fldChar w:fldCharType="begin"/>
      </w:r>
      <w:r>
        <w:rPr>
          <w:rFonts w:eastAsia="宋体"/>
          <w:lang w:eastAsia="zh-CN"/>
        </w:rPr>
        <w:instrText xml:space="preserve"> REF _Ref528767100 \r \h </w:instrText>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including, consistently with the above conclusions, the following objective:</w:t>
      </w: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numPr>
                <w:ilvl w:val="0"/>
                <w:numId w:val="7"/>
              </w:numPr>
              <w:overflowPunct w:val="0"/>
              <w:autoSpaceDE w:val="0"/>
              <w:autoSpaceDN w:val="0"/>
              <w:adjustRightInd w:val="0"/>
              <w:spacing w:after="180"/>
              <w:jc w:val="both"/>
              <w:textAlignment w:val="baseline"/>
              <w:rPr>
                <w:bCs/>
                <w:szCs w:val="20"/>
                <w:lang w:val="en-GB" w:eastAsia="en-GB"/>
              </w:rPr>
            </w:pPr>
            <w:r>
              <w:rPr>
                <w:bCs/>
                <w:szCs w:val="20"/>
                <w:lang w:val="en-GB" w:eastAsia="en-GB"/>
              </w:rPr>
              <w:t>The detailed objectives for PDCP duplication enhancements are:</w:t>
            </w:r>
          </w:p>
          <w:p>
            <w:pPr>
              <w:numPr>
                <w:ilvl w:val="0"/>
                <w:numId w:val="8"/>
              </w:numPr>
              <w:overflowPunct w:val="0"/>
              <w:autoSpaceDE w:val="0"/>
              <w:autoSpaceDN w:val="0"/>
              <w:adjustRightInd w:val="0"/>
              <w:spacing w:after="180"/>
              <w:jc w:val="both"/>
              <w:textAlignment w:val="baseline"/>
              <w:rPr>
                <w:bCs/>
                <w:szCs w:val="20"/>
                <w:lang w:val="en-GB" w:eastAsia="en-GB"/>
              </w:rPr>
            </w:pPr>
            <w:r>
              <w:rPr>
                <w:szCs w:val="20"/>
                <w:lang w:val="en-GB" w:eastAsia="en-GB"/>
              </w:rPr>
              <w:t xml:space="preserve">Specify PDCP duplication with up to 4 RLC entities configured by RRC </w:t>
            </w:r>
            <w:r>
              <w:rPr>
                <w:szCs w:val="20"/>
                <w:highlight w:val="yellow"/>
                <w:lang w:val="en-GB" w:eastAsia="en-GB"/>
              </w:rPr>
              <w:t>in architectural combinations including CA only</w:t>
            </w:r>
            <w:r>
              <w:rPr>
                <w:szCs w:val="20"/>
                <w:lang w:val="en-GB" w:eastAsia="en-GB"/>
              </w:rPr>
              <w:t xml:space="preserve"> and NR-DC in combination with CA [RAN2, RAN3].</w:t>
            </w:r>
          </w:p>
          <w:p>
            <w:pPr>
              <w:numPr>
                <w:ilvl w:val="0"/>
                <w:numId w:val="8"/>
              </w:numPr>
              <w:overflowPunct w:val="0"/>
              <w:autoSpaceDE w:val="0"/>
              <w:autoSpaceDN w:val="0"/>
              <w:adjustRightInd w:val="0"/>
              <w:spacing w:after="180"/>
              <w:jc w:val="both"/>
              <w:textAlignment w:val="baseline"/>
              <w:rPr>
                <w:bCs/>
                <w:szCs w:val="20"/>
                <w:lang w:val="en-GB" w:eastAsia="en-GB"/>
              </w:rPr>
            </w:pPr>
            <w:r>
              <w:rPr>
                <w:szCs w:val="20"/>
                <w:lang w:val="en-GB" w:eastAsia="en-GB"/>
              </w:rPr>
              <w:t>Specify mechanisms relating to dynamic control of how a set or subset of configured RLC entities or legs are used for PDCP duplication [RAN2, RAN3].</w:t>
            </w:r>
          </w:p>
          <w:p>
            <w:pPr>
              <w:numPr>
                <w:ilvl w:val="0"/>
                <w:numId w:val="8"/>
              </w:numPr>
              <w:overflowPunct w:val="0"/>
              <w:autoSpaceDE w:val="0"/>
              <w:autoSpaceDN w:val="0"/>
              <w:adjustRightInd w:val="0"/>
              <w:spacing w:after="180"/>
              <w:jc w:val="both"/>
              <w:textAlignment w:val="baseline"/>
              <w:rPr>
                <w:bCs/>
                <w:szCs w:val="20"/>
                <w:lang w:val="en-GB" w:eastAsia="en-GB"/>
              </w:rPr>
            </w:pPr>
            <w:r>
              <w:rPr>
                <w:bCs/>
                <w:szCs w:val="20"/>
                <w:lang w:val="en-GB" w:eastAsia="en-GB"/>
              </w:rPr>
              <w:t>Specify enhancements for more resource efficient PDCP duplication by enhancing PDCP duplication activation/deactivation mechanisms (e.g. MAC CE based or based on UE configurable criteria)</w:t>
            </w:r>
            <w:r>
              <w:rPr>
                <w:szCs w:val="20"/>
                <w:lang w:val="en-GB" w:eastAsia="en-GB"/>
              </w:rPr>
              <w:t xml:space="preserve">, provided that </w:t>
            </w:r>
            <w:r>
              <w:rPr>
                <w:szCs w:val="20"/>
                <w:lang w:val="en-GB" w:eastAsia="zh-CN"/>
              </w:rPr>
              <w:t>complexity increase is reasonable</w:t>
            </w:r>
            <w:r>
              <w:rPr>
                <w:szCs w:val="20"/>
                <w:lang w:val="en-GB" w:eastAsia="en-GB"/>
              </w:rPr>
              <w:t>. Per-packet selective duplication can also be considered.</w:t>
            </w:r>
            <w:r>
              <w:rPr>
                <w:bCs/>
                <w:szCs w:val="20"/>
                <w:lang w:val="en-GB" w:eastAsia="en-GB"/>
              </w:rPr>
              <w:t xml:space="preserve"> [RAN2].</w:t>
            </w:r>
          </w:p>
        </w:tc>
      </w:tr>
    </w:tbl>
    <w:p>
      <w:pPr>
        <w:pStyle w:val="3"/>
        <w:rPr>
          <w:rFonts w:eastAsia="宋体"/>
          <w:lang w:eastAsia="zh-CN"/>
        </w:rPr>
      </w:pPr>
      <w:r>
        <w:rPr>
          <w:rFonts w:eastAsia="宋体"/>
          <w:lang w:eastAsia="zh-CN"/>
        </w:rPr>
        <w:t xml:space="preserve">As can be observed, one of the objectives focuses on </w:t>
      </w:r>
      <w:r>
        <w:rPr>
          <w:szCs w:val="20"/>
          <w:lang w:val="en-GB" w:eastAsia="en-GB"/>
        </w:rPr>
        <w:t>specifying PDCP duplication with up to 4 RLC entities</w:t>
      </w:r>
      <w:r>
        <w:rPr>
          <w:rFonts w:eastAsia="宋体"/>
          <w:lang w:eastAsia="zh-CN"/>
        </w:rPr>
        <w:t xml:space="preserve"> in a CA-only architecture, with</w:t>
      </w:r>
      <w:r>
        <w:rPr>
          <w:szCs w:val="20"/>
          <w:lang w:val="en-GB" w:eastAsia="en-GB"/>
        </w:rPr>
        <w:t xml:space="preserve"> dynamic control of how a set or subset of configured RLC entities or legs are used for PDCP duplication. In this contribution we show that such technique has no benefit in a CA-only architecture but would rather result in performance degradation, hence it should be abandoned.</w:t>
      </w:r>
    </w:p>
    <w:bookmarkEnd w:id="4"/>
    <w:bookmarkEnd w:id="5"/>
    <w:p>
      <w:pPr>
        <w:pStyle w:val="2"/>
        <w:jc w:val="both"/>
      </w:pPr>
      <w:r>
        <w:rPr>
          <w:rFonts w:hint="eastAsia"/>
        </w:rPr>
        <w:t>Discussion</w:t>
      </w:r>
    </w:p>
    <w:p>
      <w:pPr>
        <w:pStyle w:val="3"/>
        <w:rPr>
          <w:lang w:eastAsia="zh-CN"/>
        </w:rPr>
      </w:pPr>
      <w:r>
        <w:rPr>
          <w:lang w:eastAsia="zh-CN"/>
        </w:rPr>
        <w:t xml:space="preserve">Since DL PDCP duplication is transparent to the UE in Rel-15, we assume the same in this WI and focus on UL PDCP duplication. As discussed above, one configuration to be addressed is CA-only duplication over (up to) 4 configured legs (RLC entities) with dynamic selection of a subset of active legs via e.g. MAC CE. Indeed, since MAC CE is already used in Rel-15 for the dynamic activation of the duplication, it makes sense that such MAC CE design is upgraded to also perform this dynamic selection. However, in CA architecture with 4 component carriers (CCs), it is interesting to compare this approach, where each CC is associated with one leg and gNB performs dynamic selection of the best two legs for duplicating packets, with the legacy approach where the 4 CCs are evenly associated to the two legs and gNB scheduler performs dynamic scheduling of each leg within its associated 2 CCs. Both schemes are illustrated in </w:t>
      </w:r>
      <w:r>
        <w:rPr>
          <w:lang w:eastAsia="zh-CN"/>
        </w:rPr>
        <w:fldChar w:fldCharType="begin"/>
      </w:r>
      <w:r>
        <w:rPr>
          <w:lang w:eastAsia="zh-CN"/>
        </w:rPr>
        <w:instrText xml:space="preserve"> REF _Ref787363 \h  \* MERGEFORMAT </w:instrText>
      </w:r>
      <w:r>
        <w:rPr>
          <w:lang w:eastAsia="zh-CN"/>
        </w:rPr>
        <w:fldChar w:fldCharType="separate"/>
      </w:r>
      <w:r>
        <w:t>Figure 1</w:t>
      </w:r>
      <w:r>
        <w:rPr>
          <w:lang w:eastAsia="zh-CN"/>
        </w:rPr>
        <w:fldChar w:fldCharType="end"/>
      </w:r>
      <w:r>
        <w:rPr>
          <w:lang w:eastAsia="zh-CN"/>
        </w:rPr>
        <w:t>.</w:t>
      </w:r>
    </w:p>
    <w:p>
      <w:pPr>
        <w:pStyle w:val="3"/>
        <w:rPr>
          <w:lang w:eastAsia="zh-CN"/>
        </w:rPr>
      </w:pPr>
      <w:r>
        <w:rPr>
          <w:lang w:eastAsia="zh-CN"/>
        </w:rPr>
        <w:object>
          <v:shape id="_x0000_i1025" o:spt="75" type="#_x0000_t75" style="height:173.9pt;width:215.0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r>
        <w:rPr>
          <w:lang w:eastAsia="zh-CN"/>
        </w:rPr>
        <w:object>
          <v:shape id="_x0000_i1026" o:spt="75" type="#_x0000_t75" style="height:172.5pt;width:199.1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9"/>
        <w:keepNext/>
        <w:keepLines/>
        <w:spacing w:after="240"/>
        <w:jc w:val="center"/>
        <w:rPr>
          <w:b/>
          <w:lang w:eastAsia="zh-CN"/>
        </w:rPr>
      </w:pPr>
      <w:bookmarkStart w:id="12" w:name="_Ref78736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12"/>
      <w:r>
        <w:rPr>
          <w:b/>
        </w:rPr>
        <w:t>:</w:t>
      </w:r>
      <w:r>
        <w:rPr>
          <w:rFonts w:hint="eastAsia"/>
          <w:b/>
          <w:lang w:eastAsia="zh-CN"/>
        </w:rPr>
        <w:t xml:space="preserve"> </w:t>
      </w:r>
      <w:r>
        <w:rPr>
          <w:b/>
          <w:lang w:eastAsia="zh-CN"/>
        </w:rPr>
        <w:t xml:space="preserve">CA-only duplication over 4 CCs with dynamic leg (re)selection (left) or dynamic scheduling within each leg </w:t>
      </w:r>
    </w:p>
    <w:p>
      <w:pPr>
        <w:pStyle w:val="5"/>
        <w:rPr>
          <w:sz w:val="20"/>
        </w:rPr>
      </w:pPr>
      <w:r>
        <w:rPr>
          <w:sz w:val="20"/>
        </w:rPr>
        <w:t>Spectral efficiency</w:t>
      </w:r>
    </w:p>
    <w:p>
      <w:pPr>
        <w:pStyle w:val="5"/>
        <w:spacing w:before="0"/>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The spectral efficiency is a key metric in comparing both schemes in that it assesses the ability of gNB to schedule each duplicated URLLC packets on the frequency resource with best SINR, at any time. In both schemes, the gNB uses SRS transmissions in each CC to assess its UL channel quality. The difference is that, with legacy PDCCH-based scheduling, for each leg, gNB can always instantaneously select the best CC for scheduling the duplicated packet among the subset of CCs associated to this leg. On the contrary, leg (re)-selection by MAC CE cannot be as fast and reactive because:</w:t>
      </w:r>
    </w:p>
    <w:p>
      <w:pPr>
        <w:pStyle w:val="5"/>
        <w:numPr>
          <w:ilvl w:val="0"/>
          <w:numId w:val="9"/>
        </w:numPr>
        <w:spacing w:before="0"/>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gNB could end-up flooding the UE with such MAC CEs to always follow the best leg.</w:t>
      </w:r>
    </w:p>
    <w:p>
      <w:pPr>
        <w:pStyle w:val="5"/>
        <w:numPr>
          <w:ilvl w:val="0"/>
          <w:numId w:val="9"/>
        </w:numPr>
        <w:spacing w:before="0"/>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On every leg switching, there will be a need to route the generated and pending RLC SDU/PDUs from one RLC entity to another, hence any ping-pong effect should be avoided.</w:t>
      </w:r>
    </w:p>
    <w:p>
      <w:pPr>
        <w:pStyle w:val="34"/>
        <w:numPr>
          <w:ilvl w:val="0"/>
          <w:numId w:val="9"/>
        </w:numPr>
        <w:rPr>
          <w:lang w:eastAsia="zh-CN"/>
        </w:rPr>
      </w:pPr>
      <w:r>
        <w:rPr>
          <w:lang w:eastAsia="zh-CN"/>
        </w:rPr>
        <w:t>In practice, the procedure will likely be 2-step i.e. 1) leg switching and 2) delivering a new grant in the new leg.</w:t>
      </w:r>
    </w:p>
    <w:p>
      <w:pPr>
        <w:pStyle w:val="5"/>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Hence, some more time and filtering are expected by gNB to react to an SINR decrease before switching the current active leg to another configured leg.</w:t>
      </w:r>
    </w:p>
    <w:p>
      <w:pPr>
        <w:spacing w:before="120"/>
        <w:rPr>
          <w:b/>
          <w:lang w:eastAsia="zh-CN"/>
        </w:rPr>
      </w:pPr>
      <w:r>
        <w:rPr>
          <w:b/>
          <w:lang w:eastAsia="zh-CN"/>
        </w:rPr>
        <w:t>Observation 1: In CA-only duplication, the dynamic leg (re)selection via MAC CE cannot be as fast as the regular legacy PDCCH-based dynamic scheduling in the best cell.</w:t>
      </w:r>
    </w:p>
    <w:p>
      <w:pPr>
        <w:pStyle w:val="5"/>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The only argument that could be raised to potentially compensate the above latency penalty is that, taking the above example, the dynamic leg (re)selection allows selecting the best 2 CCs out of 4 while with legacy approach, the dynamic scheduler only has a choice among 2 CCs for each leg. However, this needs to be further looked at, considering two cases: the CCs operate in low (FR1) or high (FR2) frequency:</w:t>
      </w:r>
    </w:p>
    <w:p>
      <w:pPr>
        <w:pStyle w:val="5"/>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 xml:space="preserve">In low frequency, the fast channel variations triggering a potential leg switching would be due to typical variations of legacy fading channel. In such case, it is well known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_Ref4700337 \r \h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[4]</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 xml:space="preserve"> that the coherence bandwidth of commonly used channel models in cellular network design is much smaller than the operating LTE and NR system bandwidths. In other words, if the channel fades in one part of the spectrum, there will always be another part of the spectrum where it is optimum. As a result, increasing the CC set from 2 to 4 is not expected to bring spectral efficiency benefits in low frequency. Hence, in FR1, considering Observation 1, the dynamic leg (re)selection via MAC CE is expected to be less spectral efficient, hence less robust, than the regular legacy PDCCH-based dynamic scheduling in the best cell. </w:t>
      </w:r>
    </w:p>
    <w:p>
      <w:pPr>
        <w:spacing w:before="120"/>
        <w:jc w:val="both"/>
        <w:rPr>
          <w:b/>
          <w:lang w:eastAsia="zh-CN"/>
        </w:rPr>
      </w:pPr>
      <w:r>
        <w:rPr>
          <w:b/>
          <w:lang w:eastAsia="zh-CN"/>
        </w:rPr>
        <w:t>Observation 2: For CA-only duplication in FR1, the dynamic leg (re)selection via MAC CE is less spectral efficient, hence less robust, than the regular legacy PDCCH-based dynamic scheduling in the best cell.</w:t>
      </w:r>
    </w:p>
    <w:p>
      <w:pPr>
        <w:pStyle w:val="5"/>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 xml:space="preserve">In high frequency (FR2), the channel is modeled as LOS channel model with blockage behavior as specified in Section 7.6.4 of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_Ref3905983 \r \h  \* MERGEFORMAT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[3]</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 xml:space="preserve">. The blockage is either </w:t>
      </w:r>
      <w:r>
        <w:rPr>
          <w:rFonts w:ascii="Times New Roman" w:hAnsi="Times New Roman" w:cs="Times New Roman"/>
          <w:b w:val="0"/>
          <w:bCs w:val="0"/>
          <w:i/>
          <w:sz w:val="20"/>
          <w:szCs w:val="24"/>
          <w:lang w:eastAsia="zh-CN"/>
        </w:rPr>
        <w:t>self-blocking</w:t>
      </w:r>
      <w:r>
        <w:rPr>
          <w:rFonts w:ascii="Times New Roman" w:hAnsi="Times New Roman" w:cs="Times New Roman"/>
          <w:b w:val="0"/>
          <w:bCs w:val="0"/>
          <w:sz w:val="20"/>
          <w:szCs w:val="24"/>
          <w:lang w:eastAsia="zh-CN"/>
        </w:rPr>
        <w:t xml:space="preserve"> (i.e. human/hand holding the UE) or </w:t>
      </w:r>
      <w:r>
        <w:rPr>
          <w:rFonts w:ascii="Times New Roman" w:hAnsi="Times New Roman" w:cs="Times New Roman"/>
          <w:b w:val="0"/>
          <w:bCs w:val="0"/>
          <w:i/>
          <w:sz w:val="20"/>
          <w:szCs w:val="24"/>
          <w:lang w:eastAsia="zh-CN"/>
        </w:rPr>
        <w:t>non-self-blocking</w:t>
      </w:r>
      <w:r>
        <w:rPr>
          <w:rFonts w:ascii="Times New Roman" w:hAnsi="Times New Roman" w:cs="Times New Roman"/>
          <w:b w:val="0"/>
          <w:bCs w:val="0"/>
          <w:sz w:val="20"/>
          <w:szCs w:val="24"/>
          <w:lang w:eastAsia="zh-CN"/>
        </w:rPr>
        <w:t xml:space="preserve"> representing physical obstacles around the UE. In both cases, it is obvious that for co-located CCs, the blocking behavior will be identical. Hence the only way to get any gain from PDCP duplication in high frequency is to configure the duplication over non-collocated CCs. This can be done via DC duplication or CA duplication across cells from different TRPs. Hence, with 2 TRPs with 2CCs each, it is clear that the duplication must be configured across the two CC sets in each TRP, as in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_Ref787363 \h  \* MERGEFORMAT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Figure 1</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 xml:space="preserve">-right. And a deployment leveraging the dynamic leg (re)selection technique of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_Ref787363 \h  \* MERGEFORMAT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Figure 1</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-left will necessarily require 4 TRPs, hence comes with a higher cost.</w:t>
      </w:r>
    </w:p>
    <w:p>
      <w:pPr>
        <w:spacing w:before="120"/>
        <w:jc w:val="both"/>
        <w:rPr>
          <w:b/>
          <w:lang w:eastAsia="zh-CN"/>
        </w:rPr>
      </w:pPr>
      <w:r>
        <w:rPr>
          <w:b/>
          <w:lang w:eastAsia="zh-CN"/>
        </w:rPr>
        <w:t>Observation 3: For CA-only duplication in FR2, leveraging the dynamic leg (re)selection technique will require deploying as many TRPs per gNB (MAC entity) as the number of CCs configured for CA duplication.</w:t>
      </w:r>
    </w:p>
    <w:p>
      <w:pPr>
        <w:pStyle w:val="5"/>
        <w:jc w:val="both"/>
        <w:rPr>
          <w:rFonts w:ascii="Times New Roman" w:hAnsi="Times New Roman" w:cs="Times New Roman"/>
          <w:b w:val="0"/>
          <w:bCs w:val="0"/>
          <w:sz w:val="20"/>
          <w:szCs w:val="24"/>
          <w:lang w:eastAsia="zh-CN"/>
        </w:rPr>
      </w:pPr>
      <w:r>
        <w:rPr>
          <w:rFonts w:ascii="Times New Roman" w:hAnsi="Times New Roman" w:cs="Times New Roman"/>
          <w:b w:val="0"/>
          <w:bCs w:val="0"/>
          <w:sz w:val="20"/>
          <w:szCs w:val="24"/>
          <w:lang w:eastAsia="zh-CN"/>
        </w:rPr>
        <w:t xml:space="preserve">Now performance-wise, in such 4-TRP configuration, the only case where the proposed new dynamic leg (re)selection technique of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_Ref787363 \h  \* MERGEFORMAT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Figure 1</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 xml:space="preserve">-left outperforms the legacy CA duplication over 2 statically configured legs of </w:t>
      </w:r>
      <w:r>
        <w:rPr>
          <w:rFonts w:ascii="Times New Roman" w:hAnsi="Times New Roman" w:cs="Times New Roman"/>
          <w:b w:val="0"/>
          <w:bCs w:val="0"/>
          <w:sz w:val="20"/>
          <w:szCs w:val="24"/>
          <w:lang w:eastAsia="zh-CN"/>
        </w:rPr>
        <w:fldChar w:fldCharType="begin"/>
      </w:r>
      <w:r>
        <w:rPr>
          <w:rFonts w:ascii="Times New Roman" w:hAnsi="Times New Roman" w:cs="Times New Roman"/>
          <w:b w:val="0"/>
          <w:bCs w:val="0"/>
          <w:sz w:val="20"/>
          <w:szCs w:val="24"/>
          <w:lang w:eastAsia="zh-CN"/>
        </w:rPr>
        <w:instrText xml:space="preserve"> REF _Ref787363 \h  \* MERGEFORMAT </w:instrText>
      </w:r>
      <w:r>
        <w:rPr>
          <w:rFonts w:ascii="Times New Roman" w:hAnsi="Times New Roman" w:cs="Times New Roman"/>
          <w:b w:val="0"/>
          <w:bCs w:val="0"/>
          <w:sz w:val="20"/>
          <w:szCs w:val="24"/>
          <w:lang w:eastAsia="zh-CN"/>
        </w:rPr>
        <w:fldChar w:fldCharType="separate"/>
      </w:r>
      <w:r>
        <w:rPr>
          <w:rFonts w:ascii="Times New Roman" w:hAnsi="Times New Roman" w:cs="Times New Roman"/>
          <w:b w:val="0"/>
          <w:bCs w:val="0"/>
          <w:sz w:val="20"/>
          <w:szCs w:val="24"/>
          <w:lang w:eastAsia="zh-CN"/>
        </w:rPr>
        <w:t>Figure 1</w:t>
      </w:r>
      <w:r>
        <w:rPr>
          <w:rFonts w:ascii="Times New Roman" w:hAnsi="Times New Roman" w:cs="Times New Roman"/>
          <w:b w:val="0"/>
          <w:bCs w:val="0"/>
          <w:sz w:val="20"/>
          <w:szCs w:val="24"/>
          <w:lang w:eastAsia="zh-CN"/>
        </w:rPr>
        <w:fldChar w:fldCharType="end"/>
      </w:r>
      <w:r>
        <w:rPr>
          <w:rFonts w:ascii="Times New Roman" w:hAnsi="Times New Roman" w:cs="Times New Roman"/>
          <w:b w:val="0"/>
          <w:bCs w:val="0"/>
          <w:sz w:val="20"/>
          <w:szCs w:val="24"/>
          <w:lang w:eastAsia="zh-CN"/>
        </w:rPr>
        <w:t>-right is when both CCs of a given leg are blocked. We show in the Annex of this document that the probability of such event is only 1.2%. And it should be noted that, even in that case, the other leg still works (is not blocked) so can handle the URLLC transmission.</w:t>
      </w:r>
    </w:p>
    <w:p>
      <w:pPr>
        <w:spacing w:before="120"/>
        <w:jc w:val="both"/>
        <w:rPr>
          <w:b/>
          <w:lang w:eastAsia="zh-CN"/>
        </w:rPr>
      </w:pPr>
      <w:r>
        <w:rPr>
          <w:b/>
          <w:lang w:eastAsia="zh-CN"/>
        </w:rPr>
        <w:t xml:space="preserve">Observation 4: For CA-only duplication in FR2, the probability that </w:t>
      </w:r>
      <w:r>
        <w:rPr>
          <w:b/>
          <w:bCs/>
          <w:lang w:eastAsia="zh-CN"/>
        </w:rPr>
        <w:t>both CCs of a given leg are blocked</w:t>
      </w:r>
      <w:r>
        <w:rPr>
          <w:b/>
          <w:lang w:eastAsia="zh-CN"/>
        </w:rPr>
        <w:t xml:space="preserve"> simultaneously is only 1.2%.</w:t>
      </w:r>
    </w:p>
    <w:p>
      <w:pPr>
        <w:pStyle w:val="5"/>
        <w:rPr>
          <w:sz w:val="20"/>
        </w:rPr>
      </w:pPr>
      <w:r>
        <w:rPr>
          <w:sz w:val="20"/>
        </w:rPr>
        <w:t>Throughput</w:t>
      </w:r>
    </w:p>
    <w:p>
      <w:pPr>
        <w:jc w:val="both"/>
      </w:pPr>
      <w:r>
        <w:t>The primary goal of Carrier Aggregation is to boost the UE throughput. As shown in Figure 1, unlike the legacy CA duplication over 2 statically configured legs, each associated with 2 CCs, a CA configuration leveraging the proposed new dynamic leg (re)selection technique disallows taking advantage of the historical throughput boost provided by CA.</w:t>
      </w:r>
    </w:p>
    <w:p>
      <w:pPr>
        <w:spacing w:before="120"/>
        <w:jc w:val="both"/>
        <w:rPr>
          <w:b/>
          <w:lang w:eastAsia="zh-CN"/>
        </w:rPr>
      </w:pPr>
      <w:r>
        <w:rPr>
          <w:b/>
          <w:lang w:eastAsia="zh-CN"/>
        </w:rPr>
        <w:t xml:space="preserve">Observation 5: For CA-only duplication, the dynamic leg (re)selection technique brings a throughput penalty compared with the </w:t>
      </w:r>
      <w:r>
        <w:rPr>
          <w:b/>
        </w:rPr>
        <w:t>legacy CA duplication over 2 statically configured legs, each associated with 2 CCs</w:t>
      </w:r>
      <w:r>
        <w:rPr>
          <w:b/>
          <w:lang w:eastAsia="zh-CN"/>
        </w:rPr>
        <w:t>.</w:t>
      </w:r>
    </w:p>
    <w:p>
      <w:pPr>
        <w:jc w:val="both"/>
      </w:pPr>
    </w:p>
    <w:p>
      <w:pPr>
        <w:jc w:val="both"/>
      </w:pPr>
      <w:r>
        <w:t xml:space="preserve">Taking above observations 1-5 into account, it can be concluded that no clear performance benefit is expected from the dynamic leg (re)selection technique in CA-only duplication, where the regular and legacy PDCCH-based gNB scheduling is doing a better job. Hence such technique should only be considered for PDCP duplication </w:t>
      </w:r>
      <w:r>
        <w:rPr>
          <w:szCs w:val="20"/>
          <w:lang w:val="en-GB" w:eastAsia="en-GB"/>
        </w:rPr>
        <w:t xml:space="preserve">in NR-DC in combination with CA, which we address in </w:t>
      </w:r>
      <w:r>
        <w:t>.</w:t>
      </w:r>
    </w:p>
    <w:p>
      <w:pPr>
        <w:spacing w:before="120"/>
        <w:jc w:val="both"/>
        <w:rPr>
          <w:b/>
          <w:szCs w:val="20"/>
          <w:lang w:val="en-GB" w:eastAsia="en-GB"/>
        </w:rPr>
      </w:pPr>
      <w:r>
        <w:rPr>
          <w:b/>
          <w:lang w:eastAsia="zh-CN"/>
        </w:rPr>
        <w:t xml:space="preserve">Proposal: </w:t>
      </w:r>
      <w:r>
        <w:rPr>
          <w:b/>
          <w:szCs w:val="20"/>
          <w:lang w:val="en-GB" w:eastAsia="en-GB"/>
        </w:rPr>
        <w:t>PDCP duplication with up to 4 RLC entities</w:t>
      </w:r>
      <w:r>
        <w:rPr>
          <w:rFonts w:eastAsia="宋体"/>
          <w:b/>
          <w:lang w:eastAsia="zh-CN"/>
        </w:rPr>
        <w:t xml:space="preserve"> with</w:t>
      </w:r>
      <w:r>
        <w:rPr>
          <w:b/>
          <w:szCs w:val="20"/>
          <w:lang w:val="en-GB" w:eastAsia="en-GB"/>
        </w:rPr>
        <w:t xml:space="preserve"> dynamic control of how a set or subset of configured RLC entities or legs are used for PDCP duplication </w:t>
      </w:r>
      <w:r>
        <w:rPr>
          <w:b/>
        </w:rPr>
        <w:t xml:space="preserve">should only be considered </w:t>
      </w:r>
      <w:r>
        <w:rPr>
          <w:b/>
          <w:szCs w:val="20"/>
          <w:lang w:val="en-GB" w:eastAsia="en-GB"/>
        </w:rPr>
        <w:t>in NR-DC in combination with CA, and abandoned for CA-only duplication.</w:t>
      </w:r>
    </w:p>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 xml:space="preserve">discussed </w:t>
      </w:r>
      <w:r>
        <w:rPr>
          <w:szCs w:val="20"/>
          <w:lang w:val="en-GB" w:eastAsia="en-GB"/>
        </w:rPr>
        <w:t>PDCP duplication with up to 4 RLC entities</w:t>
      </w:r>
      <w:r>
        <w:rPr>
          <w:rFonts w:eastAsia="宋体"/>
          <w:lang w:eastAsia="zh-CN"/>
        </w:rPr>
        <w:t xml:space="preserve"> in a CA-only architecture, with</w:t>
      </w:r>
      <w:r>
        <w:rPr>
          <w:szCs w:val="20"/>
          <w:lang w:val="en-GB" w:eastAsia="en-GB"/>
        </w:rPr>
        <w:t xml:space="preserve"> dynamic control of how a set or subset of configured RLC entities or legs are used for PDCP duplication</w:t>
      </w:r>
      <w:r>
        <w:rPr>
          <w:rFonts w:eastAsiaTheme="minorEastAsia"/>
          <w:lang w:eastAsia="zh-CN"/>
        </w:rPr>
        <w:t>. The resulting observations and proposal are as follows:</w:t>
      </w:r>
    </w:p>
    <w:p>
      <w:pPr>
        <w:spacing w:before="120"/>
        <w:rPr>
          <w:b/>
          <w:lang w:eastAsia="zh-CN"/>
        </w:rPr>
      </w:pPr>
      <w:r>
        <w:rPr>
          <w:b/>
          <w:lang w:eastAsia="zh-CN"/>
        </w:rPr>
        <w:t>Observation 1: In CA-only duplication, the dynamic leg (re)selection via MAC CE cannot be as fast as the regular legacy PDCCH-based dynamic scheduling in the best cell.</w:t>
      </w:r>
    </w:p>
    <w:p>
      <w:pPr>
        <w:spacing w:before="120"/>
        <w:jc w:val="both"/>
        <w:rPr>
          <w:b/>
          <w:lang w:eastAsia="zh-CN"/>
        </w:rPr>
      </w:pPr>
      <w:r>
        <w:rPr>
          <w:b/>
          <w:lang w:eastAsia="zh-CN"/>
        </w:rPr>
        <w:t>Observation 2: For CA-only duplication in FR1, the dynamic leg (re)selection via MAC CE is less spectral efficient, hence less robust, than the regular legacy PDCCH-based dynamic scheduling in the best cell.</w:t>
      </w:r>
    </w:p>
    <w:p>
      <w:pPr>
        <w:spacing w:before="120"/>
        <w:jc w:val="both"/>
        <w:rPr>
          <w:b/>
          <w:lang w:eastAsia="zh-CN"/>
        </w:rPr>
      </w:pPr>
      <w:r>
        <w:rPr>
          <w:b/>
          <w:lang w:eastAsia="zh-CN"/>
        </w:rPr>
        <w:t>Observation 3: For CA-only duplication in FR2, leveraging the dynamic leg (re)selection technique will require deploying as many TRPs per gNB (MAC entity) as the number of CCs configured for CA duplication.</w:t>
      </w:r>
    </w:p>
    <w:p>
      <w:pPr>
        <w:spacing w:before="120"/>
        <w:jc w:val="both"/>
        <w:rPr>
          <w:b/>
          <w:lang w:eastAsia="zh-CN"/>
        </w:rPr>
      </w:pPr>
      <w:r>
        <w:rPr>
          <w:b/>
          <w:lang w:eastAsia="zh-CN"/>
        </w:rPr>
        <w:t xml:space="preserve">Observation 4: For CA-only duplication in FR2, the probability that </w:t>
      </w:r>
      <w:r>
        <w:rPr>
          <w:b/>
          <w:bCs/>
          <w:lang w:eastAsia="zh-CN"/>
        </w:rPr>
        <w:t>both CCs of a given leg are blocked</w:t>
      </w:r>
      <w:r>
        <w:rPr>
          <w:b/>
          <w:lang w:eastAsia="zh-CN"/>
        </w:rPr>
        <w:t xml:space="preserve"> simultaneously is only 1.2%.</w:t>
      </w:r>
    </w:p>
    <w:p>
      <w:pPr>
        <w:spacing w:before="120"/>
        <w:jc w:val="both"/>
        <w:rPr>
          <w:b/>
          <w:lang w:eastAsia="zh-CN"/>
        </w:rPr>
      </w:pPr>
      <w:r>
        <w:rPr>
          <w:b/>
          <w:lang w:eastAsia="zh-CN"/>
        </w:rPr>
        <w:t xml:space="preserve">Observation 5: For CA-only duplication, the dynamic leg (re)selection technique brings a throughput penalty compared with the </w:t>
      </w:r>
      <w:r>
        <w:rPr>
          <w:b/>
        </w:rPr>
        <w:t>legacy CA duplication over 2 statically configured legs, each associated with 2 CCs</w:t>
      </w:r>
      <w:r>
        <w:rPr>
          <w:b/>
          <w:lang w:eastAsia="zh-CN"/>
        </w:rPr>
        <w:t>.</w:t>
      </w:r>
    </w:p>
    <w:p>
      <w:pPr>
        <w:spacing w:before="120"/>
        <w:jc w:val="both"/>
        <w:rPr>
          <w:b/>
          <w:szCs w:val="20"/>
          <w:lang w:val="en-GB" w:eastAsia="en-GB"/>
        </w:rPr>
      </w:pPr>
      <w:r>
        <w:rPr>
          <w:b/>
          <w:lang w:eastAsia="zh-CN"/>
        </w:rPr>
        <w:t xml:space="preserve">Proposal: </w:t>
      </w:r>
      <w:r>
        <w:rPr>
          <w:b/>
          <w:szCs w:val="20"/>
          <w:lang w:val="en-GB" w:eastAsia="en-GB"/>
        </w:rPr>
        <w:t>PDCP duplication with up to 4 RLC entities</w:t>
      </w:r>
      <w:r>
        <w:rPr>
          <w:rFonts w:eastAsia="宋体"/>
          <w:b/>
          <w:lang w:eastAsia="zh-CN"/>
        </w:rPr>
        <w:t xml:space="preserve"> with</w:t>
      </w:r>
      <w:r>
        <w:rPr>
          <w:b/>
          <w:szCs w:val="20"/>
          <w:lang w:val="en-GB" w:eastAsia="en-GB"/>
        </w:rPr>
        <w:t xml:space="preserve"> dynamic control of how a set or subset of configured RLC entities or legs are used for PDCP duplication </w:t>
      </w:r>
      <w:r>
        <w:rPr>
          <w:b/>
        </w:rPr>
        <w:t xml:space="preserve">should only be considered </w:t>
      </w:r>
      <w:r>
        <w:rPr>
          <w:b/>
          <w:szCs w:val="20"/>
          <w:lang w:val="en-GB" w:eastAsia="en-GB"/>
        </w:rPr>
        <w:t>in NR-DC in combination with CA, and abandoned for CA-only duplication.</w:t>
      </w:r>
    </w:p>
    <w:p>
      <w:pPr>
        <w:pStyle w:val="2"/>
        <w:jc w:val="both"/>
      </w:pPr>
      <w:r>
        <w:rPr>
          <w:rFonts w:hint="eastAsia"/>
        </w:rPr>
        <w:t>Reference</w:t>
      </w:r>
    </w:p>
    <w:p>
      <w:pPr>
        <w:pStyle w:val="3"/>
        <w:numPr>
          <w:ilvl w:val="0"/>
          <w:numId w:val="10"/>
        </w:numPr>
      </w:pPr>
      <w:bookmarkStart w:id="13" w:name="_Ref520366874"/>
      <w:bookmarkStart w:id="14" w:name="_Ref513539344"/>
      <w:bookmarkStart w:id="15" w:name="_Ref516745796"/>
      <w:bookmarkStart w:id="16" w:name="_Ref3879359"/>
      <w:r>
        <w:t>TR 38.825</w:t>
      </w:r>
      <w:r>
        <w:rPr>
          <w:rFonts w:hint="eastAsia" w:eastAsiaTheme="minorEastAsia"/>
          <w:lang w:eastAsia="zh-CN"/>
        </w:rPr>
        <w:t xml:space="preserve">, </w:t>
      </w:r>
      <w:r>
        <w:rPr>
          <w:rFonts w:eastAsiaTheme="minorEastAsia"/>
          <w:lang w:eastAsia="zh-CN"/>
        </w:rPr>
        <w:t xml:space="preserve">V0.2.0, </w:t>
      </w:r>
      <w:r>
        <w:t>Study on NR Industrial Internet of Things (IoT)</w:t>
      </w:r>
      <w:bookmarkEnd w:id="13"/>
      <w:bookmarkEnd w:id="14"/>
      <w:bookmarkEnd w:id="15"/>
      <w:r>
        <w:t>, Release 16</w:t>
      </w:r>
      <w:bookmarkEnd w:id="16"/>
    </w:p>
    <w:p>
      <w:pPr>
        <w:pStyle w:val="3"/>
        <w:numPr>
          <w:ilvl w:val="0"/>
          <w:numId w:val="10"/>
        </w:numPr>
        <w:rPr>
          <w:rFonts w:eastAsiaTheme="minorEastAsia"/>
          <w:lang w:eastAsia="zh-CN"/>
        </w:rPr>
      </w:pPr>
      <w:bookmarkStart w:id="17" w:name="_Ref528081646"/>
      <w:bookmarkStart w:id="18" w:name="_Ref528767100"/>
      <w:r>
        <w:rPr>
          <w:rFonts w:eastAsiaTheme="minorEastAsia"/>
          <w:lang w:eastAsia="zh-CN"/>
        </w:rPr>
        <w:t xml:space="preserve">RP-190728 </w:t>
      </w:r>
      <w:r>
        <w:t>New WID: Support of NR Industrial Internet of Things (IoT), Nokia and all</w:t>
      </w:r>
      <w:bookmarkEnd w:id="17"/>
      <w:bookmarkEnd w:id="18"/>
    </w:p>
    <w:p>
      <w:pPr>
        <w:pStyle w:val="3"/>
        <w:numPr>
          <w:ilvl w:val="0"/>
          <w:numId w:val="10"/>
        </w:numPr>
        <w:rPr>
          <w:rFonts w:eastAsiaTheme="minorEastAsia"/>
          <w:lang w:eastAsia="zh-CN"/>
        </w:rPr>
      </w:pPr>
      <w:bookmarkStart w:id="19" w:name="_Ref3905983"/>
      <w:bookmarkStart w:id="20" w:name="_Ref528769527"/>
      <w:r>
        <w:t>3GPP TR 38.900 v14.0.0, “Study on channel model for frequency spectrum above 6 GHz (Release 14)”, ETSI</w:t>
      </w:r>
      <w:bookmarkEnd w:id="19"/>
    </w:p>
    <w:p>
      <w:pPr>
        <w:pStyle w:val="3"/>
        <w:numPr>
          <w:ilvl w:val="0"/>
          <w:numId w:val="10"/>
        </w:numPr>
        <w:rPr>
          <w:rFonts w:eastAsiaTheme="minorEastAsia"/>
          <w:lang w:eastAsia="zh-CN"/>
        </w:rPr>
      </w:pPr>
      <w:bookmarkStart w:id="21" w:name="_Ref4700337"/>
      <w:r>
        <w:rPr>
          <w:rFonts w:eastAsiaTheme="minorEastAsia"/>
          <w:lang w:eastAsia="zh-CN"/>
        </w:rPr>
        <w:t xml:space="preserve">Rappaport, Wireless Communications - Principles And Practice, </w:t>
      </w:r>
      <w:r>
        <w:t>Prentice Hall</w:t>
      </w:r>
      <w:bookmarkEnd w:id="21"/>
    </w:p>
    <w:p>
      <w:pPr>
        <w:pStyle w:val="3"/>
        <w:numPr>
          <w:ilvl w:val="0"/>
          <w:numId w:val="10"/>
        </w:numPr>
        <w:rPr>
          <w:rFonts w:eastAsiaTheme="minorEastAsia"/>
          <w:lang w:eastAsia="zh-CN"/>
        </w:rPr>
      </w:pPr>
      <w:r>
        <w:t>R2-1903141, Dynamic leg selection with DC+CA duplication, CATT</w:t>
      </w:r>
    </w:p>
    <w:bookmarkEnd w:id="20"/>
    <w:p>
      <w:pPr>
        <w:pStyle w:val="2"/>
        <w:jc w:val="both"/>
      </w:pPr>
      <w:r>
        <w:t>Annex</w:t>
      </w:r>
    </w:p>
    <w:p>
      <w:pPr>
        <w:jc w:val="both"/>
        <w:rPr>
          <w:rFonts w:eastAsiaTheme="minorEastAsia"/>
          <w:lang w:eastAsia="zh-CN"/>
        </w:rPr>
      </w:pPr>
      <w:r>
        <w:rPr>
          <w:rFonts w:eastAsiaTheme="minorEastAsia"/>
          <w:lang w:eastAsia="zh-CN"/>
        </w:rPr>
        <w:t xml:space="preserve">The blockage modeling specification is given in section of 7.6.4 of </w:t>
      </w:r>
      <w:r>
        <w:rPr>
          <w:rFonts w:eastAsiaTheme="minorEastAsia"/>
          <w:lang w:eastAsia="zh-CN"/>
        </w:rPr>
        <w:fldChar w:fldCharType="begin"/>
      </w:r>
      <w:r>
        <w:rPr>
          <w:rFonts w:eastAsiaTheme="minorEastAsia"/>
          <w:lang w:eastAsia="zh-CN"/>
        </w:rPr>
        <w:instrText xml:space="preserve"> REF _Ref3905983 \r \h  \* MERGEFORMAT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Two alternative models (Model A and Model B) are provided. Both approaches have their own use cases. Model A is applicable when a generic and computationally efficient blockage modeling is desired. Model B is applicable when a specific and more realistic blocking modeling is desired. In this document, we focus on Model A. The </w:t>
      </w:r>
      <w:r>
        <w:rPr>
          <w:rFonts w:hint="eastAsia" w:eastAsiaTheme="minorEastAsia"/>
          <w:lang w:eastAsia="zh-CN"/>
        </w:rPr>
        <w:t xml:space="preserve">modeling of the </w:t>
      </w:r>
      <w:r>
        <w:rPr>
          <w:rFonts w:eastAsiaTheme="minorEastAsia"/>
          <w:lang w:eastAsia="zh-CN"/>
        </w:rPr>
        <w:t xml:space="preserve">blockage does not change LOS/NLOS state of </w:t>
      </w:r>
      <w:r>
        <w:rPr>
          <w:rFonts w:hint="eastAsia" w:eastAsiaTheme="minorEastAsia"/>
          <w:lang w:eastAsia="zh-CN"/>
        </w:rPr>
        <w:t>each</w:t>
      </w:r>
      <w:r>
        <w:rPr>
          <w:rFonts w:eastAsiaTheme="minorEastAsia"/>
          <w:lang w:eastAsia="zh-CN"/>
        </w:rPr>
        <w:t xml:space="preserve"> link, but consists in applying attenuation on the appropriate clusters.</w:t>
      </w:r>
    </w:p>
    <w:p>
      <w:pPr>
        <w:spacing w:after="240"/>
        <w:rPr>
          <w:rFonts w:eastAsiaTheme="minorEastAsia"/>
          <w:lang w:eastAsia="zh-CN"/>
        </w:rPr>
      </w:pPr>
      <w:r>
        <w:rPr>
          <w:rFonts w:hint="eastAsia" w:eastAsiaTheme="minorEastAsia"/>
          <w:lang w:eastAsia="zh-CN"/>
        </w:rPr>
        <w:t>Model</w:t>
      </w:r>
      <w:r>
        <w:rPr>
          <w:rFonts w:eastAsiaTheme="minorEastAsia"/>
          <w:lang w:eastAsia="zh-CN"/>
        </w:rPr>
        <w:t xml:space="preserve"> A </w:t>
      </w:r>
      <w:r>
        <w:rPr>
          <w:rFonts w:hint="eastAsia" w:eastAsiaTheme="minorEastAsia"/>
          <w:lang w:eastAsia="zh-CN"/>
        </w:rPr>
        <w:t xml:space="preserve">adopts </w:t>
      </w:r>
      <w:r>
        <w:rPr>
          <w:rFonts w:eastAsiaTheme="minorEastAsia"/>
          <w:lang w:eastAsia="zh-CN"/>
        </w:rPr>
        <w:t xml:space="preserve">a stochastic </w:t>
      </w:r>
      <w:r>
        <w:rPr>
          <w:rFonts w:hint="eastAsia" w:eastAsiaTheme="minorEastAsia"/>
          <w:lang w:eastAsia="zh-CN"/>
        </w:rPr>
        <w:t>method</w:t>
      </w:r>
      <w:r>
        <w:rPr>
          <w:rFonts w:eastAsiaTheme="minorEastAsia"/>
          <w:lang w:eastAsia="zh-CN"/>
        </w:rPr>
        <w:t xml:space="preserve"> for capturing human and vehicular blocking. Blockers are defined as </w:t>
      </w:r>
      <w:r>
        <w:rPr>
          <w:rFonts w:hint="eastAsia" w:eastAsiaTheme="minorEastAsia"/>
          <w:lang w:eastAsia="zh-CN"/>
        </w:rPr>
        <w:t xml:space="preserve">2-dimensional (2D) </w:t>
      </w:r>
      <w:r>
        <w:rPr>
          <w:rFonts w:eastAsiaTheme="minorEastAsia"/>
          <w:lang w:eastAsia="zh-CN"/>
        </w:rPr>
        <w:t>angular region</w:t>
      </w:r>
      <w:r>
        <w:rPr>
          <w:rFonts w:hint="eastAsia" w:eastAsiaTheme="minorEastAsia"/>
          <w:lang w:eastAsia="zh-CN"/>
        </w:rPr>
        <w:t xml:space="preserve">s, in terms of azimuth and elevation angles, </w:t>
      </w:r>
      <w:r>
        <w:rPr>
          <w:rFonts w:eastAsiaTheme="minorEastAsia"/>
          <w:position w:val="-10"/>
          <w:lang w:eastAsia="zh-CN"/>
        </w:rPr>
        <w:object>
          <v:shape id="_x0000_i1027" o:spt="75" type="#_x0000_t75" style="height:16.85pt;width:29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eastAsiaTheme="minorEastAsia"/>
          <w:lang w:eastAsia="zh-CN"/>
        </w:rPr>
        <w:t xml:space="preserve">, generated </w:t>
      </w:r>
      <w:r>
        <w:rPr>
          <w:rFonts w:eastAsiaTheme="minorEastAsia"/>
          <w:lang w:eastAsia="zh-CN"/>
        </w:rPr>
        <w:t>around the UE</w:t>
      </w:r>
      <w:r>
        <w:rPr>
          <w:rFonts w:hint="eastAsia" w:eastAsiaTheme="minorEastAsia"/>
          <w:lang w:eastAsia="zh-CN"/>
        </w:rPr>
        <w:t xml:space="preserve">: </w:t>
      </w:r>
    </w:p>
    <w:p>
      <w:pPr>
        <w:jc w:val="both"/>
        <w:rPr>
          <w:lang w:eastAsia="ko-KR"/>
        </w:rPr>
      </w:pPr>
      <w:r>
        <w:rPr>
          <w:position w:val="-32"/>
          <w:lang w:eastAsia="ko-KR"/>
        </w:rPr>
        <w:object>
          <v:shape id="_x0000_i1028" o:spt="75" type="#_x0000_t75" style="height:37.85pt;width:349.2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p>
      <w:pPr>
        <w:spacing w:before="240"/>
        <w:jc w:val="both"/>
        <w:rPr>
          <w:lang w:eastAsia="ko-KR"/>
        </w:rPr>
      </w:pPr>
      <w:r>
        <w:rPr>
          <w:lang w:eastAsia="ko-KR"/>
        </w:rPr>
        <w:t xml:space="preserve"> There are two types of blockers:</w:t>
      </w:r>
    </w:p>
    <w:p>
      <w:pPr>
        <w:pStyle w:val="34"/>
        <w:numPr>
          <w:ilvl w:val="0"/>
          <w:numId w:val="11"/>
        </w:numPr>
        <w:overflowPunct/>
        <w:autoSpaceDE/>
        <w:autoSpaceDN/>
        <w:adjustRightInd/>
        <w:spacing w:after="200" w:line="276" w:lineRule="auto"/>
        <w:jc w:val="both"/>
        <w:textAlignment w:val="auto"/>
      </w:pPr>
      <w:r>
        <w:rPr>
          <w:b/>
          <w:lang w:eastAsia="ko-KR"/>
        </w:rPr>
        <w:t>Self-blocking</w:t>
      </w:r>
      <w:r>
        <w:rPr>
          <w:lang w:eastAsia="ko-KR"/>
        </w:rPr>
        <w:t xml:space="preserve"> (i.e. human/hand holding the UT): this blocking region is not spatially consistent and UT specifically generated. The attenuation is fixed as 30dB and 0dB within and outside the blocking region respectively. The size and location is fixed according to </w:t>
      </w:r>
      <w:r>
        <w:fldChar w:fldCharType="begin"/>
      </w:r>
      <w:r>
        <w:instrText xml:space="preserve"> REF _Ref469728079 \h  \* MERGEFORMAT </w:instrText>
      </w:r>
      <w:r>
        <w:fldChar w:fldCharType="separate"/>
      </w:r>
      <w:r>
        <w:rPr>
          <w:bCs/>
          <w:lang w:eastAsia="ko-KR"/>
        </w:rPr>
        <w:t>Table 1</w:t>
      </w:r>
      <w:r>
        <w:fldChar w:fldCharType="end"/>
      </w:r>
      <w:r>
        <w:rPr>
          <w:lang w:eastAsia="ko-KR"/>
        </w:rPr>
        <w:t xml:space="preserve">. The rectangular blocker description is chosen with the specific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ctrlPr>
                  <w:rPr>
                    <w:rFonts w:ascii="Cambria Math" w:hAnsi="Cambria Math"/>
                    <w:i/>
                    <w:iCs/>
                    <w:lang w:eastAsia="ko-KR"/>
                  </w:rPr>
                </m:ctrlPr>
              </m:e>
              <m:sub>
                <m:r>
                  <w:rPr>
                    <w:rFonts w:ascii="Cambria Math" w:hAnsi="Cambria Math"/>
                    <w:lang w:eastAsia="ko-KR"/>
                  </w:rPr>
                  <m:t>1</m:t>
                </m:r>
                <m:ctrlPr>
                  <w:rPr>
                    <w:rFonts w:ascii="Cambria Math" w:hAnsi="Cambria Math"/>
                    <w:i/>
                    <w:iCs/>
                    <w:lang w:eastAsia="ko-KR"/>
                  </w:rPr>
                </m:ctrlP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ctrlPr>
                  <w:rPr>
                    <w:rFonts w:ascii="Cambria Math" w:hAnsi="Cambria Math"/>
                    <w:i/>
                    <w:iCs/>
                    <w:lang w:eastAsia="ko-KR"/>
                  </w:rPr>
                </m:ctrlPr>
              </m:e>
              <m:sub>
                <m:r>
                  <w:rPr>
                    <w:rFonts w:ascii="Cambria Math" w:hAnsi="Cambria Math"/>
                    <w:lang w:eastAsia="ko-KR"/>
                  </w:rPr>
                  <m:t>1</m:t>
                </m:r>
                <m:ctrlPr>
                  <w:rPr>
                    <w:rFonts w:ascii="Cambria Math" w:hAnsi="Cambria Math"/>
                    <w:i/>
                    <w:iCs/>
                    <w:lang w:eastAsia="ko-KR"/>
                  </w:rPr>
                </m:ctrlPr>
              </m:sub>
            </m:sSub>
            <m:ctrlPr>
              <w:rPr>
                <w:rFonts w:ascii="Cambria Math" w:hAnsi="Cambria Math"/>
                <w:i/>
                <w:lang w:eastAsia="ko-KR"/>
              </w:rPr>
            </m:ctrlPr>
          </m:e>
        </m:d>
      </m:oMath>
      <w:r>
        <w:rPr>
          <w:lang w:eastAsia="ko-KR"/>
        </w:rPr>
        <w:t xml:space="preserve"> assumed here. Generalization of this description to other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ctrlPr>
                  <w:rPr>
                    <w:rFonts w:ascii="Cambria Math" w:hAnsi="Cambria Math"/>
                    <w:i/>
                    <w:iCs/>
                    <w:lang w:eastAsia="ko-KR"/>
                  </w:rPr>
                </m:ctrlPr>
              </m:e>
              <m:sub>
                <m:r>
                  <w:rPr>
                    <w:rFonts w:ascii="Cambria Math" w:hAnsi="Cambria Math"/>
                    <w:lang w:eastAsia="ko-KR"/>
                  </w:rPr>
                  <m:t>1</m:t>
                </m:r>
                <m:ctrlPr>
                  <w:rPr>
                    <w:rFonts w:ascii="Cambria Math" w:hAnsi="Cambria Math"/>
                    <w:i/>
                    <w:iCs/>
                    <w:lang w:eastAsia="ko-KR"/>
                  </w:rPr>
                </m:ctrlP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ctrlPr>
                  <w:rPr>
                    <w:rFonts w:ascii="Cambria Math" w:hAnsi="Cambria Math"/>
                    <w:i/>
                    <w:iCs/>
                    <w:lang w:eastAsia="ko-KR"/>
                  </w:rPr>
                </m:ctrlPr>
              </m:e>
              <m:sub>
                <m:r>
                  <w:rPr>
                    <w:rFonts w:ascii="Cambria Math" w:hAnsi="Cambria Math"/>
                    <w:lang w:eastAsia="ko-KR"/>
                  </w:rPr>
                  <m:t>1</m:t>
                </m:r>
                <m:ctrlPr>
                  <w:rPr>
                    <w:rFonts w:ascii="Cambria Math" w:hAnsi="Cambria Math"/>
                    <w:i/>
                    <w:iCs/>
                    <w:lang w:eastAsia="ko-KR"/>
                  </w:rPr>
                </m:ctrlPr>
              </m:sub>
            </m:sSub>
            <m:ctrlPr>
              <w:rPr>
                <w:rFonts w:ascii="Cambria Math" w:hAnsi="Cambria Math"/>
                <w:i/>
                <w:lang w:eastAsia="ko-KR"/>
              </w:rPr>
            </m:ctrlPr>
          </m:e>
        </m:d>
      </m:oMath>
      <w:r>
        <w:rPr>
          <w:lang w:eastAsia="ko-KR"/>
        </w:rPr>
        <w:t xml:space="preserve"> should be done with care as the rectangular description may not be accurate.</w:t>
      </w:r>
    </w:p>
    <w:p>
      <w:pPr>
        <w:pStyle w:val="34"/>
        <w:numPr>
          <w:ilvl w:val="0"/>
          <w:numId w:val="11"/>
        </w:numPr>
        <w:overflowPunct/>
        <w:autoSpaceDE/>
        <w:autoSpaceDN/>
        <w:adjustRightInd/>
        <w:spacing w:after="200" w:line="276" w:lineRule="auto"/>
        <w:jc w:val="both"/>
        <w:textAlignment w:val="auto"/>
      </w:pPr>
      <w:r>
        <w:rPr>
          <w:b/>
          <w:lang w:eastAsia="ko-KR"/>
        </w:rPr>
        <w:t>Non</w:t>
      </w:r>
      <w:r>
        <w:rPr>
          <w:rFonts w:hint="eastAsia"/>
          <w:b/>
          <w:lang w:eastAsia="ko-KR"/>
        </w:rPr>
        <w:t>-</w:t>
      </w:r>
      <w:r>
        <w:rPr>
          <w:b/>
          <w:lang w:eastAsia="ko-KR"/>
        </w:rPr>
        <w:t>self-blocking</w:t>
      </w:r>
      <w:r>
        <w:rPr>
          <w:lang w:eastAsia="ko-KR"/>
        </w:rPr>
        <w:t xml:space="preserve"> </w:t>
      </w:r>
      <w:r>
        <w:rPr>
          <w:rFonts w:hint="eastAsia"/>
          <w:lang w:eastAsia="ko-KR"/>
        </w:rPr>
        <w:t>angular region</w:t>
      </w:r>
      <w:r>
        <w:rPr>
          <w:lang w:eastAsia="ko-KR"/>
        </w:rPr>
        <w:t>, representing physical obstacles with an additional parameter: r, the distance to the UE. The attenuation within the blocking region is a function of r. The centre of the blocker is generated based on a uniformly distributed random variable, which is temporally and spatially consistent. Th</w:t>
      </w:r>
      <w:r>
        <w:rPr>
          <w:rFonts w:hint="eastAsia"/>
          <w:lang w:eastAsia="ko-KR"/>
        </w:rPr>
        <w:t xml:space="preserve">e total number of </w:t>
      </w:r>
      <w:r>
        <w:rPr>
          <w:lang w:eastAsia="ko-KR"/>
        </w:rPr>
        <w:t>non</w:t>
      </w:r>
      <w:r>
        <w:rPr>
          <w:rFonts w:hint="eastAsia"/>
          <w:lang w:eastAsia="ko-KR"/>
        </w:rPr>
        <w:t>-</w:t>
      </w:r>
      <w:r>
        <w:rPr>
          <w:lang w:eastAsia="ko-KR"/>
        </w:rPr>
        <w:t xml:space="preserve">self-blocking </w:t>
      </w:r>
      <w:r>
        <w:rPr>
          <w:rFonts w:hint="eastAsia"/>
          <w:lang w:eastAsia="ko-KR"/>
        </w:rPr>
        <w:t xml:space="preserve">angular regions </w:t>
      </w:r>
      <w:r>
        <w:rPr>
          <w:lang w:eastAsia="ko-KR"/>
        </w:rPr>
        <w:t>is 4.</w:t>
      </w:r>
    </w:p>
    <w:tbl>
      <w:tblPr>
        <w:tblStyle w:val="23"/>
        <w:tblW w:w="68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1080"/>
        <w:gridCol w:w="1080"/>
        <w:gridCol w:w="99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1"/>
              <w:rPr>
                <w:lang w:eastAsia="ko-KR"/>
              </w:rPr>
            </w:pPr>
            <w:r>
              <w:rPr>
                <w:lang w:eastAsia="ko-KR"/>
              </w:rPr>
              <w:t>Self-blocking (</w:t>
            </w:r>
            <w:r>
              <w:rPr>
                <w:i/>
                <w:lang w:eastAsia="ko-KR"/>
              </w:rPr>
              <w:t xml:space="preserve">k </w:t>
            </w:r>
            <w:r>
              <w:rPr>
                <w:lang w:eastAsia="ko-KR"/>
              </w:rPr>
              <w:t>= 1)</w:t>
            </w:r>
          </w:p>
        </w:tc>
        <w:tc>
          <w:tcPr>
            <w:tcW w:w="1080" w:type="dxa"/>
          </w:tcPr>
          <w:p>
            <w:pPr>
              <w:pStyle w:val="71"/>
              <w:rPr>
                <w:i/>
                <w:lang w:eastAsia="ko-KR"/>
              </w:rPr>
            </w:pPr>
            <w:r>
              <w:rPr>
                <w:i/>
                <w:lang w:eastAsia="ko-KR"/>
              </w:rPr>
              <w:t>φ</w:t>
            </w:r>
            <w:r>
              <w:rPr>
                <w:i/>
                <w:vertAlign w:val="subscript"/>
                <w:lang w:eastAsia="ko-KR"/>
              </w:rPr>
              <w:t>k</w:t>
            </w:r>
          </w:p>
        </w:tc>
        <w:tc>
          <w:tcPr>
            <w:tcW w:w="1080" w:type="dxa"/>
          </w:tcPr>
          <w:p>
            <w:pPr>
              <w:pStyle w:val="71"/>
              <w:rPr>
                <w:i/>
                <w:lang w:eastAsia="ko-KR"/>
              </w:rPr>
            </w:pPr>
            <w:r>
              <w:rPr>
                <w:i/>
                <w:lang w:eastAsia="ko-KR"/>
              </w:rPr>
              <w:t>x</w:t>
            </w:r>
            <w:r>
              <w:rPr>
                <w:i/>
                <w:vertAlign w:val="subscript"/>
                <w:lang w:eastAsia="ko-KR"/>
              </w:rPr>
              <w:t>k</w:t>
            </w:r>
          </w:p>
        </w:tc>
        <w:tc>
          <w:tcPr>
            <w:tcW w:w="990" w:type="dxa"/>
          </w:tcPr>
          <w:p>
            <w:pPr>
              <w:pStyle w:val="71"/>
              <w:rPr>
                <w:i/>
                <w:lang w:eastAsia="ko-KR"/>
              </w:rPr>
            </w:pPr>
            <w:r>
              <w:rPr>
                <w:i/>
                <w:lang w:eastAsia="ko-KR"/>
              </w:rPr>
              <w:t>θ</w:t>
            </w:r>
            <w:r>
              <w:rPr>
                <w:i/>
                <w:vertAlign w:val="subscript"/>
                <w:lang w:eastAsia="ko-KR"/>
              </w:rPr>
              <w:t>k</w:t>
            </w:r>
          </w:p>
        </w:tc>
        <w:tc>
          <w:tcPr>
            <w:tcW w:w="1080" w:type="dxa"/>
            <w:shd w:val="clear" w:color="auto" w:fill="auto"/>
          </w:tcPr>
          <w:p>
            <w:pPr>
              <w:pStyle w:val="71"/>
              <w:rPr>
                <w:i/>
                <w:lang w:eastAsia="ko-KR"/>
              </w:rPr>
            </w:pPr>
            <w:r>
              <w:rPr>
                <w:i/>
                <w:lang w:eastAsia="ko-KR"/>
              </w:rPr>
              <w:t>y</w:t>
            </w:r>
            <w:r>
              <w:rPr>
                <w:i/>
                <w:vertAlign w:val="subscript"/>
                <w:lang w:eastAsia="ko-KR"/>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2"/>
              <w:rPr>
                <w:lang w:eastAsia="ko-KR"/>
              </w:rPr>
            </w:pPr>
            <w:r>
              <w:rPr>
                <w:lang w:eastAsia="ko-KR"/>
              </w:rPr>
              <w:t>Portrait mode</w:t>
            </w:r>
          </w:p>
        </w:tc>
        <w:tc>
          <w:tcPr>
            <w:tcW w:w="1080" w:type="dxa"/>
          </w:tcPr>
          <w:p>
            <w:pPr>
              <w:pStyle w:val="72"/>
              <w:rPr>
                <w:lang w:eastAsia="ko-KR"/>
              </w:rPr>
            </w:pPr>
            <w:r>
              <w:rPr>
                <w:lang w:eastAsia="ko-KR"/>
              </w:rPr>
              <w:t>260</w:t>
            </w:r>
            <w:r>
              <w:rPr>
                <w:vertAlign w:val="superscript"/>
                <w:lang w:eastAsia="ko-KR"/>
              </w:rPr>
              <w:t>o</w:t>
            </w:r>
          </w:p>
        </w:tc>
        <w:tc>
          <w:tcPr>
            <w:tcW w:w="1080" w:type="dxa"/>
          </w:tcPr>
          <w:p>
            <w:pPr>
              <w:pStyle w:val="72"/>
              <w:rPr>
                <w:lang w:eastAsia="ko-KR"/>
              </w:rPr>
            </w:pPr>
            <w:r>
              <w:rPr>
                <w:lang w:eastAsia="ko-KR"/>
              </w:rPr>
              <w:t>120</w:t>
            </w:r>
            <w:r>
              <w:rPr>
                <w:vertAlign w:val="superscript"/>
                <w:lang w:eastAsia="ko-KR"/>
              </w:rPr>
              <w:t>o</w:t>
            </w:r>
          </w:p>
        </w:tc>
        <w:tc>
          <w:tcPr>
            <w:tcW w:w="990" w:type="dxa"/>
          </w:tcPr>
          <w:p>
            <w:pPr>
              <w:pStyle w:val="72"/>
              <w:rPr>
                <w:lang w:eastAsia="ko-KR"/>
              </w:rPr>
            </w:pPr>
            <w:r>
              <w:rPr>
                <w:lang w:eastAsia="ko-KR"/>
              </w:rPr>
              <w:t>100</w:t>
            </w:r>
            <w:r>
              <w:rPr>
                <w:vertAlign w:val="superscript"/>
                <w:lang w:eastAsia="ko-KR"/>
              </w:rPr>
              <w:t>o</w:t>
            </w:r>
          </w:p>
        </w:tc>
        <w:tc>
          <w:tcPr>
            <w:tcW w:w="1080" w:type="dxa"/>
            <w:shd w:val="clear" w:color="auto" w:fill="auto"/>
          </w:tcPr>
          <w:p>
            <w:pPr>
              <w:pStyle w:val="72"/>
              <w:rPr>
                <w:lang w:eastAsia="ko-KR"/>
              </w:rPr>
            </w:pPr>
            <w:r>
              <w:rPr>
                <w:lang w:eastAsia="ko-KR"/>
              </w:rPr>
              <w:t>80</w:t>
            </w:r>
            <w:r>
              <w:rPr>
                <w:vertAlign w:val="superscript"/>
                <w:lang w:eastAsia="ko-KR"/>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2"/>
              <w:rPr>
                <w:lang w:eastAsia="ko-KR"/>
              </w:rPr>
            </w:pPr>
            <w:r>
              <w:rPr>
                <w:lang w:eastAsia="ko-KR"/>
              </w:rPr>
              <w:t>Landscape mode</w:t>
            </w:r>
          </w:p>
        </w:tc>
        <w:tc>
          <w:tcPr>
            <w:tcW w:w="1080" w:type="dxa"/>
          </w:tcPr>
          <w:p>
            <w:pPr>
              <w:pStyle w:val="72"/>
              <w:rPr>
                <w:lang w:eastAsia="ko-KR"/>
              </w:rPr>
            </w:pPr>
            <w:r>
              <w:rPr>
                <w:lang w:eastAsia="ko-KR"/>
              </w:rPr>
              <w:t>40</w:t>
            </w:r>
            <w:r>
              <w:rPr>
                <w:vertAlign w:val="superscript"/>
                <w:lang w:eastAsia="ko-KR"/>
              </w:rPr>
              <w:t>o</w:t>
            </w:r>
          </w:p>
        </w:tc>
        <w:tc>
          <w:tcPr>
            <w:tcW w:w="1080" w:type="dxa"/>
          </w:tcPr>
          <w:p>
            <w:pPr>
              <w:pStyle w:val="72"/>
              <w:rPr>
                <w:lang w:eastAsia="ko-KR"/>
              </w:rPr>
            </w:pPr>
            <w:r>
              <w:rPr>
                <w:lang w:eastAsia="ko-KR"/>
              </w:rPr>
              <w:t>160</w:t>
            </w:r>
            <w:r>
              <w:rPr>
                <w:vertAlign w:val="superscript"/>
                <w:lang w:eastAsia="ko-KR"/>
              </w:rPr>
              <w:t>o</w:t>
            </w:r>
          </w:p>
        </w:tc>
        <w:tc>
          <w:tcPr>
            <w:tcW w:w="990" w:type="dxa"/>
          </w:tcPr>
          <w:p>
            <w:pPr>
              <w:pStyle w:val="72"/>
              <w:rPr>
                <w:lang w:eastAsia="ko-KR"/>
              </w:rPr>
            </w:pPr>
            <w:r>
              <w:rPr>
                <w:lang w:eastAsia="ko-KR"/>
              </w:rPr>
              <w:t>110</w:t>
            </w:r>
            <w:r>
              <w:rPr>
                <w:vertAlign w:val="superscript"/>
                <w:lang w:eastAsia="ko-KR"/>
              </w:rPr>
              <w:t>o</w:t>
            </w:r>
          </w:p>
        </w:tc>
        <w:tc>
          <w:tcPr>
            <w:tcW w:w="1080" w:type="dxa"/>
            <w:shd w:val="clear" w:color="auto" w:fill="auto"/>
          </w:tcPr>
          <w:p>
            <w:pPr>
              <w:pStyle w:val="72"/>
              <w:rPr>
                <w:lang w:eastAsia="ko-KR"/>
              </w:rPr>
            </w:pPr>
            <w:r>
              <w:rPr>
                <w:lang w:eastAsia="ko-KR"/>
              </w:rPr>
              <w:t>75</w:t>
            </w:r>
            <w:r>
              <w:rPr>
                <w:vertAlign w:val="superscript"/>
                <w:lang w:eastAsia="ko-KR"/>
              </w:rPr>
              <w:t>o</w:t>
            </w:r>
          </w:p>
        </w:tc>
      </w:tr>
    </w:tbl>
    <w:p>
      <w:pPr>
        <w:pStyle w:val="9"/>
        <w:jc w:val="center"/>
        <w:rPr>
          <w:b/>
          <w:bCs/>
          <w:sz w:val="22"/>
          <w:szCs w:val="22"/>
          <w:lang w:eastAsia="ko-KR"/>
        </w:rPr>
      </w:pPr>
      <w:bookmarkStart w:id="22" w:name="_Ref469728079"/>
      <w:r>
        <w:rPr>
          <w:sz w:val="22"/>
          <w:szCs w:val="22"/>
          <w:lang w:eastAsia="ko-KR"/>
        </w:rPr>
        <w:t xml:space="preserve">Table </w:t>
      </w:r>
      <w:r>
        <w:rPr>
          <w:b/>
          <w:bCs/>
          <w:sz w:val="22"/>
          <w:szCs w:val="22"/>
          <w:lang w:eastAsia="ko-KR"/>
        </w:rPr>
        <w:fldChar w:fldCharType="begin"/>
      </w:r>
      <w:r>
        <w:rPr>
          <w:sz w:val="22"/>
          <w:szCs w:val="22"/>
          <w:lang w:eastAsia="ko-KR"/>
        </w:rPr>
        <w:instrText xml:space="preserve"> SEQ Table \* ARABIC </w:instrText>
      </w:r>
      <w:r>
        <w:rPr>
          <w:b/>
          <w:bCs/>
          <w:sz w:val="22"/>
          <w:szCs w:val="22"/>
          <w:lang w:eastAsia="ko-KR"/>
        </w:rPr>
        <w:fldChar w:fldCharType="separate"/>
      </w:r>
      <w:r>
        <w:rPr>
          <w:sz w:val="22"/>
          <w:szCs w:val="22"/>
          <w:lang w:eastAsia="ko-KR"/>
        </w:rPr>
        <w:t>1</w:t>
      </w:r>
      <w:r>
        <w:rPr>
          <w:b/>
          <w:bCs/>
          <w:sz w:val="22"/>
          <w:szCs w:val="22"/>
          <w:lang w:eastAsia="ko-KR"/>
        </w:rPr>
        <w:fldChar w:fldCharType="end"/>
      </w:r>
      <w:bookmarkEnd w:id="22"/>
      <w:r>
        <w:rPr>
          <w:sz w:val="22"/>
          <w:szCs w:val="22"/>
          <w:lang w:eastAsia="ko-KR"/>
        </w:rPr>
        <w:t>: Parameters description for self-blocking region</w:t>
      </w:r>
    </w:p>
    <w:tbl>
      <w:tblPr>
        <w:tblStyle w:val="23"/>
        <w:tblW w:w="78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1260"/>
        <w:gridCol w:w="1170"/>
        <w:gridCol w:w="810"/>
        <w:gridCol w:w="117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1"/>
              <w:rPr>
                <w:lang w:eastAsia="ko-KR"/>
              </w:rPr>
            </w:pPr>
            <w:r>
              <w:rPr>
                <w:lang w:eastAsia="ko-KR"/>
              </w:rPr>
              <w:t>Other blockers (</w:t>
            </w:r>
            <w:r>
              <w:rPr>
                <w:i/>
                <w:lang w:eastAsia="ko-KR"/>
              </w:rPr>
              <w:t>k</w:t>
            </w:r>
            <w:r>
              <w:rPr>
                <w:lang w:eastAsia="ko-KR"/>
              </w:rPr>
              <w:t xml:space="preserve"> = 2, …, 5) </w:t>
            </w:r>
          </w:p>
        </w:tc>
        <w:tc>
          <w:tcPr>
            <w:tcW w:w="1260" w:type="dxa"/>
          </w:tcPr>
          <w:p>
            <w:pPr>
              <w:pStyle w:val="71"/>
              <w:rPr>
                <w:i/>
                <w:lang w:eastAsia="ko-KR"/>
              </w:rPr>
            </w:pPr>
            <w:r>
              <w:rPr>
                <w:i/>
                <w:lang w:eastAsia="ko-KR"/>
              </w:rPr>
              <w:t>φ</w:t>
            </w:r>
            <w:r>
              <w:rPr>
                <w:i/>
                <w:vertAlign w:val="subscript"/>
                <w:lang w:eastAsia="ko-KR"/>
              </w:rPr>
              <w:t>k</w:t>
            </w:r>
          </w:p>
        </w:tc>
        <w:tc>
          <w:tcPr>
            <w:tcW w:w="1170" w:type="dxa"/>
          </w:tcPr>
          <w:p>
            <w:pPr>
              <w:pStyle w:val="71"/>
              <w:rPr>
                <w:i/>
                <w:lang w:eastAsia="ko-KR"/>
              </w:rPr>
            </w:pPr>
            <w:r>
              <w:rPr>
                <w:i/>
                <w:lang w:eastAsia="ko-KR"/>
              </w:rPr>
              <w:t>x</w:t>
            </w:r>
            <w:r>
              <w:rPr>
                <w:i/>
                <w:vertAlign w:val="subscript"/>
                <w:lang w:eastAsia="ko-KR"/>
              </w:rPr>
              <w:t>k</w:t>
            </w:r>
          </w:p>
        </w:tc>
        <w:tc>
          <w:tcPr>
            <w:tcW w:w="810" w:type="dxa"/>
          </w:tcPr>
          <w:p>
            <w:pPr>
              <w:pStyle w:val="71"/>
              <w:rPr>
                <w:i/>
                <w:lang w:eastAsia="ko-KR"/>
              </w:rPr>
            </w:pPr>
            <w:r>
              <w:rPr>
                <w:i/>
                <w:lang w:eastAsia="ko-KR"/>
              </w:rPr>
              <w:t>θ</w:t>
            </w:r>
            <w:r>
              <w:rPr>
                <w:i/>
                <w:vertAlign w:val="subscript"/>
                <w:lang w:eastAsia="ko-KR"/>
              </w:rPr>
              <w:t>k</w:t>
            </w:r>
          </w:p>
        </w:tc>
        <w:tc>
          <w:tcPr>
            <w:tcW w:w="1170" w:type="dxa"/>
            <w:shd w:val="clear" w:color="auto" w:fill="auto"/>
          </w:tcPr>
          <w:p>
            <w:pPr>
              <w:pStyle w:val="71"/>
              <w:rPr>
                <w:i/>
                <w:lang w:eastAsia="ko-KR"/>
              </w:rPr>
            </w:pPr>
            <w:r>
              <w:rPr>
                <w:i/>
                <w:lang w:eastAsia="ko-KR"/>
              </w:rPr>
              <w:t>y</w:t>
            </w:r>
            <w:r>
              <w:rPr>
                <w:i/>
                <w:vertAlign w:val="subscript"/>
                <w:lang w:eastAsia="ko-KR"/>
              </w:rPr>
              <w:t>k</w:t>
            </w:r>
          </w:p>
        </w:tc>
        <w:tc>
          <w:tcPr>
            <w:tcW w:w="810" w:type="dxa"/>
          </w:tcPr>
          <w:p>
            <w:pPr>
              <w:pStyle w:val="71"/>
              <w:rPr>
                <w:i/>
                <w:lang w:eastAsia="ko-KR"/>
              </w:rPr>
            </w:pPr>
            <w:r>
              <w:rPr>
                <w:i/>
                <w:lang w:eastAsia="ko-KR"/>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2"/>
              <w:rPr>
                <w:lang w:eastAsia="ko-KR"/>
              </w:rPr>
            </w:pPr>
            <w:r>
              <w:rPr>
                <w:lang w:eastAsia="ko-KR"/>
              </w:rPr>
              <w:t xml:space="preserve"> InH scenario</w:t>
            </w:r>
          </w:p>
        </w:tc>
        <w:tc>
          <w:tcPr>
            <w:tcW w:w="1260" w:type="dxa"/>
          </w:tcPr>
          <w:p>
            <w:pPr>
              <w:pStyle w:val="72"/>
              <w:rPr>
                <w:lang w:eastAsia="ko-KR"/>
              </w:rPr>
            </w:pPr>
            <w:r>
              <w:rPr>
                <w:lang w:eastAsia="ko-KR"/>
              </w:rPr>
              <w:t xml:space="preserve">Uniform in </w:t>
            </w:r>
          </w:p>
          <w:p>
            <w:pPr>
              <w:pStyle w:val="72"/>
              <w:rPr>
                <w:lang w:eastAsia="ko-KR"/>
              </w:rPr>
            </w:pPr>
            <w:r>
              <w:rPr>
                <w:lang w:eastAsia="ko-KR"/>
              </w:rPr>
              <w:t>[0</w:t>
            </w:r>
            <w:r>
              <w:rPr>
                <w:vertAlign w:val="superscript"/>
                <w:lang w:eastAsia="ko-KR"/>
              </w:rPr>
              <w:t>o</w:t>
            </w:r>
            <w:r>
              <w:rPr>
                <w:lang w:eastAsia="ko-KR"/>
              </w:rPr>
              <w:t>, 360</w:t>
            </w:r>
            <w:r>
              <w:rPr>
                <w:vertAlign w:val="superscript"/>
                <w:lang w:eastAsia="ko-KR"/>
              </w:rPr>
              <w:t>o</w:t>
            </w:r>
            <w:r>
              <w:rPr>
                <w:lang w:eastAsia="ko-KR"/>
              </w:rPr>
              <w:t>]</w:t>
            </w:r>
          </w:p>
        </w:tc>
        <w:tc>
          <w:tcPr>
            <w:tcW w:w="1170" w:type="dxa"/>
          </w:tcPr>
          <w:p>
            <w:pPr>
              <w:pStyle w:val="72"/>
              <w:rPr>
                <w:lang w:eastAsia="ko-KR"/>
              </w:rPr>
            </w:pPr>
            <w:r>
              <w:rPr>
                <w:lang w:eastAsia="ko-KR"/>
              </w:rPr>
              <w:t xml:space="preserve">Uniform in </w:t>
            </w:r>
          </w:p>
          <w:p>
            <w:pPr>
              <w:pStyle w:val="72"/>
              <w:rPr>
                <w:lang w:eastAsia="ko-KR"/>
              </w:rPr>
            </w:pPr>
            <w:r>
              <w:rPr>
                <w:lang w:eastAsia="ko-KR"/>
              </w:rPr>
              <w:t>[15</w:t>
            </w:r>
            <w:r>
              <w:rPr>
                <w:vertAlign w:val="superscript"/>
                <w:lang w:eastAsia="ko-KR"/>
              </w:rPr>
              <w:t>o</w:t>
            </w:r>
            <w:r>
              <w:rPr>
                <w:lang w:eastAsia="ko-KR"/>
              </w:rPr>
              <w:t>, 45</w:t>
            </w:r>
            <w:r>
              <w:rPr>
                <w:vertAlign w:val="superscript"/>
                <w:lang w:eastAsia="ko-KR"/>
              </w:rPr>
              <w:t>o</w:t>
            </w:r>
            <w:r>
              <w:rPr>
                <w:lang w:eastAsia="ko-KR"/>
              </w:rPr>
              <w:t>]</w:t>
            </w:r>
          </w:p>
        </w:tc>
        <w:tc>
          <w:tcPr>
            <w:tcW w:w="810" w:type="dxa"/>
          </w:tcPr>
          <w:p>
            <w:pPr>
              <w:pStyle w:val="72"/>
              <w:rPr>
                <w:lang w:eastAsia="ko-KR"/>
              </w:rPr>
            </w:pPr>
            <w:r>
              <w:rPr>
                <w:lang w:eastAsia="ko-KR"/>
              </w:rPr>
              <w:t>90</w:t>
            </w:r>
            <w:r>
              <w:rPr>
                <w:vertAlign w:val="superscript"/>
                <w:lang w:eastAsia="ko-KR"/>
              </w:rPr>
              <w:t>o</w:t>
            </w:r>
          </w:p>
        </w:tc>
        <w:tc>
          <w:tcPr>
            <w:tcW w:w="1170" w:type="dxa"/>
            <w:shd w:val="clear" w:color="auto" w:fill="auto"/>
          </w:tcPr>
          <w:p>
            <w:pPr>
              <w:pStyle w:val="72"/>
              <w:rPr>
                <w:lang w:eastAsia="ko-KR"/>
              </w:rPr>
            </w:pPr>
            <w:r>
              <w:rPr>
                <w:lang w:eastAsia="ko-KR"/>
              </w:rPr>
              <w:t xml:space="preserve">Uniform in </w:t>
            </w:r>
          </w:p>
          <w:p>
            <w:pPr>
              <w:pStyle w:val="72"/>
              <w:rPr>
                <w:lang w:eastAsia="ko-KR"/>
              </w:rPr>
            </w:pPr>
            <w:r>
              <w:rPr>
                <w:lang w:eastAsia="ko-KR"/>
              </w:rPr>
              <w:t>[5</w:t>
            </w:r>
            <w:r>
              <w:rPr>
                <w:vertAlign w:val="superscript"/>
                <w:lang w:eastAsia="ko-KR"/>
              </w:rPr>
              <w:t>o</w:t>
            </w:r>
            <w:r>
              <w:rPr>
                <w:lang w:eastAsia="ko-KR"/>
              </w:rPr>
              <w:t>, 15</w:t>
            </w:r>
            <w:r>
              <w:rPr>
                <w:vertAlign w:val="superscript"/>
                <w:lang w:eastAsia="ko-KR"/>
              </w:rPr>
              <w:t>o</w:t>
            </w:r>
            <w:r>
              <w:rPr>
                <w:lang w:eastAsia="ko-KR"/>
              </w:rPr>
              <w:t>]</w:t>
            </w:r>
          </w:p>
        </w:tc>
        <w:tc>
          <w:tcPr>
            <w:tcW w:w="810" w:type="dxa"/>
          </w:tcPr>
          <w:p>
            <w:pPr>
              <w:pStyle w:val="72"/>
              <w:rPr>
                <w:lang w:eastAsia="ko-KR"/>
              </w:rPr>
            </w:pPr>
            <w:r>
              <w:rPr>
                <w:lang w:eastAsia="ko-KR"/>
              </w:rPr>
              <w:t>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05" w:type="dxa"/>
            <w:shd w:val="clear" w:color="auto" w:fill="auto"/>
          </w:tcPr>
          <w:p>
            <w:pPr>
              <w:pStyle w:val="72"/>
              <w:rPr>
                <w:lang w:eastAsia="ko-KR"/>
              </w:rPr>
            </w:pPr>
            <w:r>
              <w:rPr>
                <w:lang w:eastAsia="ko-KR"/>
              </w:rPr>
              <w:t>UMi, UMa, RMa scenarios</w:t>
            </w:r>
          </w:p>
        </w:tc>
        <w:tc>
          <w:tcPr>
            <w:tcW w:w="1260" w:type="dxa"/>
          </w:tcPr>
          <w:p>
            <w:pPr>
              <w:pStyle w:val="72"/>
              <w:rPr>
                <w:lang w:eastAsia="ko-KR"/>
              </w:rPr>
            </w:pPr>
            <w:r>
              <w:rPr>
                <w:lang w:eastAsia="ko-KR"/>
              </w:rPr>
              <w:t xml:space="preserve">Uniform in </w:t>
            </w:r>
          </w:p>
          <w:p>
            <w:pPr>
              <w:pStyle w:val="72"/>
              <w:rPr>
                <w:lang w:eastAsia="ko-KR"/>
              </w:rPr>
            </w:pPr>
            <w:r>
              <w:rPr>
                <w:lang w:eastAsia="ko-KR"/>
              </w:rPr>
              <w:t>[0</w:t>
            </w:r>
            <w:r>
              <w:rPr>
                <w:vertAlign w:val="superscript"/>
                <w:lang w:eastAsia="ko-KR"/>
              </w:rPr>
              <w:t>o</w:t>
            </w:r>
            <w:r>
              <w:rPr>
                <w:lang w:eastAsia="ko-KR"/>
              </w:rPr>
              <w:t>, 360</w:t>
            </w:r>
            <w:r>
              <w:rPr>
                <w:vertAlign w:val="superscript"/>
                <w:lang w:eastAsia="ko-KR"/>
              </w:rPr>
              <w:t>o</w:t>
            </w:r>
            <w:r>
              <w:rPr>
                <w:lang w:eastAsia="ko-KR"/>
              </w:rPr>
              <w:t>]</w:t>
            </w:r>
          </w:p>
        </w:tc>
        <w:tc>
          <w:tcPr>
            <w:tcW w:w="1170" w:type="dxa"/>
          </w:tcPr>
          <w:p>
            <w:pPr>
              <w:pStyle w:val="72"/>
              <w:rPr>
                <w:lang w:eastAsia="ko-KR"/>
              </w:rPr>
            </w:pPr>
            <w:r>
              <w:rPr>
                <w:lang w:eastAsia="ko-KR"/>
              </w:rPr>
              <w:t xml:space="preserve">Uniform in </w:t>
            </w:r>
          </w:p>
          <w:p>
            <w:pPr>
              <w:pStyle w:val="72"/>
              <w:rPr>
                <w:lang w:eastAsia="ko-KR"/>
              </w:rPr>
            </w:pPr>
            <w:r>
              <w:rPr>
                <w:lang w:eastAsia="ko-KR"/>
              </w:rPr>
              <w:t>[5</w:t>
            </w:r>
            <w:r>
              <w:rPr>
                <w:vertAlign w:val="superscript"/>
                <w:lang w:eastAsia="ko-KR"/>
              </w:rPr>
              <w:t>o</w:t>
            </w:r>
            <w:r>
              <w:rPr>
                <w:lang w:eastAsia="ko-KR"/>
              </w:rPr>
              <w:t>, 15</w:t>
            </w:r>
            <w:r>
              <w:rPr>
                <w:vertAlign w:val="superscript"/>
                <w:lang w:eastAsia="ko-KR"/>
              </w:rPr>
              <w:t>o</w:t>
            </w:r>
            <w:r>
              <w:rPr>
                <w:lang w:eastAsia="ko-KR"/>
              </w:rPr>
              <w:t>]</w:t>
            </w:r>
          </w:p>
        </w:tc>
        <w:tc>
          <w:tcPr>
            <w:tcW w:w="810" w:type="dxa"/>
          </w:tcPr>
          <w:p>
            <w:pPr>
              <w:pStyle w:val="72"/>
              <w:rPr>
                <w:lang w:eastAsia="ko-KR"/>
              </w:rPr>
            </w:pPr>
            <w:r>
              <w:rPr>
                <w:lang w:eastAsia="ko-KR"/>
              </w:rPr>
              <w:t>90</w:t>
            </w:r>
            <w:r>
              <w:rPr>
                <w:vertAlign w:val="superscript"/>
                <w:lang w:eastAsia="ko-KR"/>
              </w:rPr>
              <w:t>o</w:t>
            </w:r>
          </w:p>
        </w:tc>
        <w:tc>
          <w:tcPr>
            <w:tcW w:w="1170" w:type="dxa"/>
            <w:shd w:val="clear" w:color="auto" w:fill="auto"/>
          </w:tcPr>
          <w:p>
            <w:pPr>
              <w:pStyle w:val="72"/>
              <w:rPr>
                <w:lang w:eastAsia="ko-KR"/>
              </w:rPr>
            </w:pPr>
            <w:r>
              <w:rPr>
                <w:lang w:eastAsia="ko-KR"/>
              </w:rPr>
              <w:t>5</w:t>
            </w:r>
            <w:r>
              <w:rPr>
                <w:vertAlign w:val="superscript"/>
                <w:lang w:eastAsia="ko-KR"/>
              </w:rPr>
              <w:t>o</w:t>
            </w:r>
          </w:p>
        </w:tc>
        <w:tc>
          <w:tcPr>
            <w:tcW w:w="810" w:type="dxa"/>
          </w:tcPr>
          <w:p>
            <w:pPr>
              <w:pStyle w:val="72"/>
              <w:rPr>
                <w:lang w:eastAsia="ko-KR"/>
              </w:rPr>
            </w:pPr>
            <w:r>
              <w:rPr>
                <w:lang w:eastAsia="ko-KR"/>
              </w:rPr>
              <w:t>10 m</w:t>
            </w:r>
          </w:p>
        </w:tc>
      </w:tr>
    </w:tbl>
    <w:p>
      <w:pPr>
        <w:pStyle w:val="9"/>
        <w:jc w:val="center"/>
        <w:rPr>
          <w:b/>
          <w:bCs/>
          <w:sz w:val="22"/>
          <w:szCs w:val="22"/>
          <w:lang w:eastAsia="ko-KR"/>
        </w:rPr>
      </w:pPr>
      <w:bookmarkStart w:id="23" w:name="_Ref469732846"/>
      <w:r>
        <w:rPr>
          <w:sz w:val="22"/>
          <w:szCs w:val="22"/>
          <w:lang w:eastAsia="ko-KR"/>
        </w:rPr>
        <w:t xml:space="preserve">Table </w:t>
      </w:r>
      <w:r>
        <w:rPr>
          <w:b/>
          <w:bCs/>
          <w:sz w:val="22"/>
          <w:szCs w:val="22"/>
          <w:lang w:eastAsia="ko-KR"/>
        </w:rPr>
        <w:fldChar w:fldCharType="begin"/>
      </w:r>
      <w:r>
        <w:rPr>
          <w:sz w:val="22"/>
          <w:szCs w:val="22"/>
          <w:lang w:eastAsia="ko-KR"/>
        </w:rPr>
        <w:instrText xml:space="preserve"> SEQ Table \* ARABIC </w:instrText>
      </w:r>
      <w:r>
        <w:rPr>
          <w:b/>
          <w:bCs/>
          <w:sz w:val="22"/>
          <w:szCs w:val="22"/>
          <w:lang w:eastAsia="ko-KR"/>
        </w:rPr>
        <w:fldChar w:fldCharType="separate"/>
      </w:r>
      <w:r>
        <w:rPr>
          <w:sz w:val="22"/>
          <w:szCs w:val="22"/>
          <w:lang w:eastAsia="ko-KR"/>
        </w:rPr>
        <w:t>2</w:t>
      </w:r>
      <w:r>
        <w:rPr>
          <w:b/>
          <w:bCs/>
          <w:sz w:val="22"/>
          <w:szCs w:val="22"/>
          <w:lang w:eastAsia="ko-KR"/>
        </w:rPr>
        <w:fldChar w:fldCharType="end"/>
      </w:r>
      <w:bookmarkEnd w:id="23"/>
      <w:r>
        <w:rPr>
          <w:sz w:val="22"/>
          <w:szCs w:val="22"/>
          <w:lang w:eastAsia="ko-KR"/>
        </w:rPr>
        <w:t>: Parameters description for self-blocking region</w:t>
      </w:r>
    </w:p>
    <w:p>
      <w:pPr>
        <w:spacing w:after="240"/>
        <w:jc w:val="both"/>
      </w:pPr>
      <w:r>
        <w:t xml:space="preserve">To simplify the analytical assessment of the probability of blockage, we only account for the self-blocking region. This is also justified by its worst-case blocking penalty with a fixed and constant 30dB loss. Hence the proposed implementation of the blockage model focuses on </w:t>
      </w:r>
      <w:r>
        <w:fldChar w:fldCharType="begin"/>
      </w:r>
      <w:r>
        <w:instrText xml:space="preserve"> REF _Ref469728079 \h  \* MERGEFORMAT </w:instrText>
      </w:r>
      <w:r>
        <w:fldChar w:fldCharType="separate"/>
      </w:r>
      <w:r>
        <w:rPr>
          <w:bCs/>
          <w:lang w:eastAsia="ko-KR"/>
        </w:rPr>
        <w:t>Table 1</w:t>
      </w:r>
      <w:r>
        <w:fldChar w:fldCharType="end"/>
      </w:r>
      <w:r>
        <w:t xml:space="preserve">, which blocking region is defined as a rectangle at the sphere surface defined by Eq (1). With such model, assuming that the mobile user has a uniform motion in the 3D space, the probability </w:t>
      </w:r>
      <w:r>
        <w:rPr>
          <w:i/>
        </w:rPr>
        <w:t>p</w:t>
      </w:r>
      <w:r>
        <w:rPr>
          <w:i/>
          <w:vertAlign w:val="subscript"/>
        </w:rPr>
        <w:t>block</w:t>
      </w:r>
      <w:r>
        <w:t xml:space="preserve"> that the LOS path is received from a direction within the self-blockage region, given as:</w:t>
      </w:r>
    </w:p>
    <w:p>
      <w:pPr>
        <w:jc w:val="both"/>
      </w:pPr>
      <m:oMathPara>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k</m:t>
                  </m:r>
                  <m:ctrlPr>
                    <w:rPr>
                      <w:rFonts w:ascii="Cambria Math" w:hAnsi="Cambria Math"/>
                      <w:i/>
                    </w:rPr>
                  </m:ctrlPr>
                </m:sub>
              </m:sSub>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k</m:t>
                  </m:r>
                  <m:ctrlPr>
                    <w:rPr>
                      <w:rFonts w:ascii="Cambria Math" w:hAnsi="Cambria Math"/>
                      <w:i/>
                    </w:rPr>
                  </m:ctrlPr>
                </m:sub>
              </m:sSub>
              <m:ctrlPr>
                <w:rPr>
                  <w:rFonts w:ascii="Cambria Math" w:hAnsi="Cambria Math"/>
                  <w:i/>
                </w:rPr>
              </m:ctrlPr>
            </m:num>
            <m:den>
              <m:r>
                <w:rPr>
                  <w:rFonts w:ascii="Cambria Math" w:hAnsi="Cambria Math"/>
                </w:rPr>
                <m:t>360×180</m:t>
              </m:r>
              <m:ctrlPr>
                <w:rPr>
                  <w:rFonts w:ascii="Cambria Math" w:hAnsi="Cambria Math"/>
                  <w:i/>
                </w:rPr>
              </m:ctrlPr>
            </m:den>
          </m:f>
        </m:oMath>
      </m:oMathPara>
    </w:p>
    <w:p>
      <w:pPr>
        <w:spacing w:before="240"/>
        <w:jc w:val="both"/>
      </w:pPr>
      <w:r>
        <w:t xml:space="preserve">Applying the above equation to the angles defining the blockage region in </w:t>
      </w:r>
      <w:r>
        <w:fldChar w:fldCharType="begin"/>
      </w:r>
      <w:r>
        <w:instrText xml:space="preserve"> REF _Ref469728079 \h  \* MERGEFORMAT </w:instrText>
      </w:r>
      <w:r>
        <w:fldChar w:fldCharType="separate"/>
      </w:r>
      <w:r>
        <w:rPr>
          <w:bCs/>
          <w:lang w:eastAsia="ko-KR"/>
        </w:rPr>
        <w:t>Table 1</w:t>
      </w:r>
      <w:r>
        <w:fldChar w:fldCharType="end"/>
      </w:r>
      <w:r>
        <w:t>, we get</w:t>
      </w:r>
      <w:r>
        <w:rPr>
          <w:sz w:val="28"/>
        </w:rP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Sub>
      </m:oMath>
      <w:r>
        <w:t xml:space="preserve">equals 0.15 and 0.19 for the portrait and landscape modes respectively. And the probability that such blockage occurs simultaneously within two CCs is: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block-2CCs</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up>
            <m:r>
              <w:rPr>
                <w:rFonts w:ascii="Cambria Math" w:hAnsi="Cambria Math"/>
              </w:rPr>
              <m:t>2</m:t>
            </m:r>
            <m:ctrlPr>
              <w:rPr>
                <w:rFonts w:ascii="Cambria Math" w:hAnsi="Cambria Math"/>
                <w:i/>
              </w:rPr>
            </m:ctrlPr>
          </m:sup>
        </m:sSubSup>
      </m:oMath>
      <w:r>
        <w:t xml:space="preserve">. Assuming the probability of CC blockage is the same and independent across CCs, when two CCs are blocked simultaneously, the probability that it happens in the two CCs of any of the 2 legs is </w:t>
      </w:r>
      <m:oMath>
        <m:r>
          <w:rPr>
            <w:rFonts w:ascii="Cambria Math" w:hAnsi="Cambria Math"/>
          </w:rPr>
          <m:t>2/</m:t>
        </m:r>
        <m:sSub>
          <m:sSubPr>
            <m:ctrlPr>
              <w:rPr>
                <w:rFonts w:ascii="Cambria Math" w:hAnsi="Cambria Math"/>
                <w:i/>
              </w:rPr>
            </m:ctrlPr>
          </m:sSubPr>
          <m:e>
            <m:r>
              <w:rPr>
                <w:rFonts w:ascii="Cambria Math" w:hAnsi="Cambria Math"/>
              </w:rPr>
              <m:t>C</m:t>
            </m:r>
            <m:ctrlPr>
              <w:rPr>
                <w:rFonts w:ascii="Cambria Math" w:hAnsi="Cambria Math"/>
                <w:i/>
              </w:rPr>
            </m:ctrlPr>
          </m:e>
          <m:sub>
            <m:r>
              <w:rPr>
                <w:rFonts w:ascii="Cambria Math" w:hAnsi="Cambria Math"/>
              </w:rPr>
              <m:t>(4,2)</m:t>
            </m:r>
            <m:ctrlPr>
              <w:rPr>
                <w:rFonts w:ascii="Cambria Math" w:hAnsi="Cambria Math"/>
                <w:i/>
              </w:rPr>
            </m:ctrlPr>
          </m:sub>
        </m:sSub>
      </m:oMath>
      <w:r>
        <w:t xml:space="preserve"> = 1/3, where </w:t>
      </w:r>
      <m:oMath>
        <m:sSub>
          <m:sSubPr>
            <m:ctrlPr>
              <w:rPr>
                <w:rFonts w:ascii="Cambria Math" w:hAnsi="Cambria Math"/>
                <w:i/>
              </w:rPr>
            </m:ctrlPr>
          </m:sSubPr>
          <m:e>
            <m:r>
              <w:rPr>
                <w:rFonts w:ascii="Cambria Math" w:hAnsi="Cambria Math"/>
              </w:rPr>
              <m:t>C</m:t>
            </m:r>
            <m:ctrlPr>
              <w:rPr>
                <w:rFonts w:ascii="Cambria Math" w:hAnsi="Cambria Math"/>
                <w:i/>
              </w:rPr>
            </m:ctrlPr>
          </m:e>
          <m:sub>
            <m:r>
              <w:rPr>
                <w:rFonts w:ascii="Cambria Math" w:hAnsi="Cambria Math"/>
              </w:rPr>
              <m:t>(4,2)</m:t>
            </m:r>
            <m:ctrlPr>
              <w:rPr>
                <w:rFonts w:ascii="Cambria Math" w:hAnsi="Cambria Math"/>
                <w:i/>
              </w:rPr>
            </m:ctrlPr>
          </m:sub>
        </m:sSub>
        <m:r>
          <w:rPr>
            <w:rFonts w:ascii="Cambria Math" w:hAnsi="Cambria Math"/>
          </w:rPr>
          <m:t xml:space="preserve"> </m:t>
        </m:r>
      </m:oMath>
      <w:r>
        <w:t xml:space="preserve">is the number of combinations of 2 items among 4. It results that the probability that both CCs of a given leg are blocked is given as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block-leg</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/3</m:t>
        </m:r>
      </m:oMath>
      <w:r>
        <w:t xml:space="preserve">. Taking the worst-case probability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Sub>
      </m:oMath>
      <w:r>
        <w:t xml:space="preserve"> = 0.19, we get: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block-leg</m:t>
            </m:r>
            <m:ctrlPr>
              <w:rPr>
                <w:rFonts w:ascii="Cambria Math" w:hAnsi="Cambria Math"/>
                <w:i/>
              </w:rPr>
            </m:ctrlP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ctrlPr>
                  <w:rPr>
                    <w:rFonts w:ascii="Cambria Math" w:hAnsi="Cambria Math"/>
                    <w:i/>
                  </w:rPr>
                </m:ctrlPr>
              </m:e>
              <m:sub>
                <m:r>
                  <w:rPr>
                    <w:rFonts w:ascii="Cambria Math" w:hAnsi="Cambria Math"/>
                  </w:rPr>
                  <m:t>block</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num>
          <m:den>
            <m:r>
              <w:rPr>
                <w:rFonts w:ascii="Cambria Math" w:hAnsi="Cambria Math"/>
              </w:rPr>
              <m:t>3</m:t>
            </m:r>
            <m:ctrlPr>
              <w:rPr>
                <w:rFonts w:ascii="Cambria Math" w:hAnsi="Cambria Math"/>
                <w:i/>
              </w:rPr>
            </m:ctrlPr>
          </m:den>
        </m:f>
        <m:r>
          <w:rPr>
            <w:rFonts w:ascii="Cambria Math" w:hAnsi="Cambria Math"/>
          </w:rPr>
          <m:t>=0.012</m:t>
        </m:r>
      </m:oMath>
      <w:r>
        <w:t>.</w:t>
      </w:r>
    </w:p>
    <w:p>
      <w:pPr>
        <w:pStyle w:val="3"/>
        <w:rPr>
          <w:lang w:eastAsia="zh-CN"/>
        </w:rPr>
      </w:pPr>
    </w:p>
    <w:p>
      <w:pPr>
        <w:pStyle w:val="3"/>
        <w:rPr>
          <w:rFonts w:eastAsiaTheme="minorEastAsia"/>
          <w:lang w:eastAsia="zh-CN"/>
        </w:rPr>
      </w:pPr>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1</w:t>
    </w:r>
    <w:r>
      <w:rPr>
        <w:rStyle w:val="29"/>
      </w:rPr>
      <w:fldChar w:fldCharType="end"/>
    </w:r>
  </w:p>
  <w:p>
    <w:pPr>
      <w:pStyle w:val="16"/>
      <w:tabs>
        <w:tab w:val="left" w:pos="2552"/>
      </w:tabs>
      <w:rPr>
        <w:rFonts w:eastAsia="宋体"/>
        <w:lang w:eastAsia="zh-CN"/>
      </w:rPr>
    </w:pPr>
    <w:r>
      <w:rPr>
        <w:rFonts w:eastAsia="宋体"/>
        <w:lang w:eastAsia="zh-CN"/>
      </w:rPr>
      <w:t>R2-1905749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2CBB49B1"/>
    <w:multiLevelType w:val="multilevel"/>
    <w:tmpl w:val="2CBB49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301446"/>
    <w:multiLevelType w:val="multilevel"/>
    <w:tmpl w:val="323014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A55685D"/>
    <w:multiLevelType w:val="singleLevel"/>
    <w:tmpl w:val="4A55685D"/>
    <w:lvl w:ilvl="0" w:tentative="0">
      <w:start w:val="1"/>
      <w:numFmt w:val="bullet"/>
      <w:pStyle w:val="63"/>
      <w:lvlText w:val=""/>
      <w:lvlJc w:val="left"/>
      <w:pPr>
        <w:tabs>
          <w:tab w:val="left" w:pos="992"/>
        </w:tabs>
        <w:ind w:left="992" w:hanging="425"/>
      </w:pPr>
      <w:rPr>
        <w:rFonts w:hint="default" w:ascii="Symbol" w:hAnsi="Symbol"/>
      </w:rPr>
    </w:lvl>
  </w:abstractNum>
  <w:abstractNum w:abstractNumId="5">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1A6787"/>
    <w:multiLevelType w:val="multilevel"/>
    <w:tmpl w:val="5D1A6787"/>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F1912B1"/>
    <w:multiLevelType w:val="multilevel"/>
    <w:tmpl w:val="5F1912B1"/>
    <w:lvl w:ilvl="0" w:tentative="0">
      <w:start w:val="1"/>
      <w:numFmt w:val="bullet"/>
      <w:pStyle w:val="78"/>
      <w:lvlText w:val=""/>
      <w:lvlJc w:val="left"/>
      <w:pPr>
        <w:ind w:left="720" w:hanging="360"/>
      </w:pPr>
      <w:rPr>
        <w:rFonts w:hint="default" w:ascii="Symbol" w:hAnsi="Symbol"/>
      </w:rPr>
    </w:lvl>
    <w:lvl w:ilvl="1" w:tentative="0">
      <w:start w:val="1"/>
      <w:numFmt w:val="bullet"/>
      <w:pStyle w:val="80"/>
      <w:lvlText w:val="o"/>
      <w:lvlJc w:val="left"/>
      <w:pPr>
        <w:ind w:left="1440" w:hanging="360"/>
      </w:pPr>
      <w:rPr>
        <w:rFonts w:hint="default" w:ascii="Courier New" w:hAnsi="Courier New" w:cs="Courier New"/>
      </w:rPr>
    </w:lvl>
    <w:lvl w:ilvl="2" w:tentative="0">
      <w:start w:val="1"/>
      <w:numFmt w:val="bullet"/>
      <w:pStyle w:val="82"/>
      <w:lvlText w:val=""/>
      <w:lvlJc w:val="left"/>
      <w:pPr>
        <w:ind w:left="2160" w:hanging="360"/>
      </w:pPr>
      <w:rPr>
        <w:rFonts w:hint="default" w:ascii="Wingdings" w:hAnsi="Wingdings"/>
      </w:rPr>
    </w:lvl>
    <w:lvl w:ilvl="3" w:tentative="0">
      <w:start w:val="1"/>
      <w:numFmt w:val="bullet"/>
      <w:pStyle w:val="8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1374"/>
        </w:tabs>
        <w:ind w:left="-1374" w:hanging="567"/>
      </w:pPr>
      <w:rPr>
        <w:rFonts w:hint="default"/>
        <w:u w:val="none"/>
      </w:rPr>
    </w:lvl>
    <w:lvl w:ilvl="2" w:tentative="0">
      <w:start w:val="1"/>
      <w:numFmt w:val="decimal"/>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tentative="0">
      <w:start w:val="1"/>
      <w:numFmt w:val="bullet"/>
      <w:pStyle w:val="70"/>
      <w:lvlText w:val=""/>
      <w:lvlJc w:val="left"/>
      <w:pPr>
        <w:tabs>
          <w:tab w:val="left" w:pos="1418"/>
        </w:tabs>
        <w:ind w:left="1418" w:hanging="426"/>
      </w:pPr>
      <w:rPr>
        <w:rFonts w:hint="default" w:ascii="Wingdings" w:hAnsi="Wingdings"/>
      </w:rPr>
    </w:lvl>
  </w:abstractNum>
  <w:num w:numId="1">
    <w:abstractNumId w:val="9"/>
  </w:num>
  <w:num w:numId="2">
    <w:abstractNumId w:val="8"/>
  </w:num>
  <w:num w:numId="3">
    <w:abstractNumId w:val="4"/>
  </w:num>
  <w:num w:numId="4">
    <w:abstractNumId w:val="3"/>
  </w:num>
  <w:num w:numId="5">
    <w:abstractNumId w:val="10"/>
  </w:num>
  <w:num w:numId="6">
    <w:abstractNumId w:val="7"/>
  </w:num>
  <w:num w:numId="7">
    <w:abstractNumId w:val="6"/>
  </w:num>
  <w:num w:numId="8">
    <w:abstractNumId w:val="0"/>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213"/>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2BE1"/>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4C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 w:val="3C285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9"/>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6"/>
    <w:semiHidden/>
    <w:unhideWhenUsed/>
    <w:qFormat/>
    <w:uiPriority w:val="0"/>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38"/>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2"/>
    <w:qFormat/>
    <w:uiPriority w:val="99"/>
  </w:style>
  <w:style w:type="paragraph" w:styleId="12">
    <w:name w:val="List 2"/>
    <w:basedOn w:val="13"/>
    <w:uiPriority w:val="0"/>
    <w:pPr>
      <w:numPr>
        <w:ilvl w:val="0"/>
        <w:numId w:val="2"/>
      </w:numPr>
      <w:spacing w:before="180"/>
    </w:pPr>
    <w:rPr>
      <w:rFonts w:ascii="Arial" w:hAnsi="Arial"/>
      <w:sz w:val="22"/>
      <w:szCs w:val="20"/>
    </w:rPr>
  </w:style>
  <w:style w:type="paragraph" w:styleId="13">
    <w:name w:val="List"/>
    <w:basedOn w:val="1"/>
    <w:uiPriority w:val="0"/>
    <w:pPr>
      <w:ind w:left="283" w:hanging="283"/>
    </w:pPr>
  </w:style>
  <w:style w:type="paragraph" w:styleId="14">
    <w:name w:val="endnote text"/>
    <w:basedOn w:val="1"/>
    <w:link w:val="44"/>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9"/>
    <w:qFormat/>
    <w:uiPriority w:val="0"/>
    <w:pPr>
      <w:tabs>
        <w:tab w:val="center" w:pos="4536"/>
        <w:tab w:val="right" w:pos="9072"/>
      </w:tabs>
    </w:pPr>
    <w:rPr>
      <w:rFonts w:ascii="Arial" w:hAnsi="Arial" w:eastAsia="MS Mincho"/>
      <w:b/>
    </w:rPr>
  </w:style>
  <w:style w:type="paragraph" w:styleId="18">
    <w:name w:val="footnote text"/>
    <w:basedOn w:val="1"/>
    <w:link w:val="43"/>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paragraph" w:styleId="22">
    <w:name w:val="annotation subject"/>
    <w:basedOn w:val="11"/>
    <w:next w:val="11"/>
    <w:semiHidden/>
    <w:qFormat/>
    <w:uiPriority w:val="0"/>
    <w:rPr>
      <w:b/>
      <w:bCs/>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5">
    <w:name w:val="Table Classic 3"/>
    <w:basedOn w:val="23"/>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6">
    <w:name w:val="Table Grid 8"/>
    <w:basedOn w:val="23"/>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8">
    <w:name w:val="endnote reference"/>
    <w:basedOn w:val="27"/>
    <w:qFormat/>
    <w:uiPriority w:val="0"/>
    <w:rPr>
      <w:vertAlign w:val="superscript"/>
    </w:rPr>
  </w:style>
  <w:style w:type="character" w:styleId="29">
    <w:name w:val="page number"/>
    <w:basedOn w:val="27"/>
    <w:qFormat/>
    <w:uiPriority w:val="0"/>
  </w:style>
  <w:style w:type="character" w:styleId="30">
    <w:name w:val="Hyperlink"/>
    <w:basedOn w:val="27"/>
    <w:unhideWhenUsed/>
    <w:qFormat/>
    <w:uiPriority w:val="99"/>
    <w:rPr>
      <w:color w:val="0000FF"/>
      <w:u w:val="single"/>
    </w:rPr>
  </w:style>
  <w:style w:type="character" w:styleId="31">
    <w:name w:val="annotation reference"/>
    <w:qFormat/>
    <w:uiPriority w:val="0"/>
    <w:rPr>
      <w:sz w:val="21"/>
      <w:szCs w:val="21"/>
    </w:rPr>
  </w:style>
  <w:style w:type="character" w:styleId="32">
    <w:name w:val="footnote reference"/>
    <w:basedOn w:val="27"/>
    <w:qFormat/>
    <w:uiPriority w:val="0"/>
    <w:rPr>
      <w:vertAlign w:val="superscript"/>
    </w:rPr>
  </w:style>
  <w:style w:type="character" w:customStyle="1" w:styleId="33">
    <w:name w:val="Caption Char1"/>
    <w:link w:val="9"/>
    <w:qFormat/>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Body Text Char"/>
    <w:link w:val="3"/>
    <w:qFormat/>
    <w:uiPriority w:val="0"/>
    <w:rPr>
      <w:rFonts w:eastAsia="MS Mincho"/>
      <w:szCs w:val="24"/>
      <w:lang w:eastAsia="en-US"/>
    </w:rPr>
  </w:style>
  <w:style w:type="character" w:customStyle="1" w:styleId="39">
    <w:name w:val="List Paragraph Char"/>
    <w:link w:val="34"/>
    <w:qFormat/>
    <w:uiPriority w:val="34"/>
    <w:rPr>
      <w:rFonts w:eastAsia="MS Mincho"/>
      <w:lang w:val="en-GB" w:eastAsia="en-US"/>
    </w:rPr>
  </w:style>
  <w:style w:type="character" w:customStyle="1" w:styleId="40">
    <w:name w:val="Body Text Char1"/>
    <w:basedOn w:val="27"/>
    <w:qFormat/>
    <w:locked/>
    <w:uiPriority w:val="99"/>
    <w:rPr>
      <w:rFonts w:eastAsia="MS Mincho" w:cs="Times New Roman"/>
      <w:sz w:val="24"/>
      <w:szCs w:val="24"/>
      <w:lang w:eastAsia="en-US"/>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character" w:customStyle="1" w:styleId="43">
    <w:name w:val="Footnote Text Char"/>
    <w:basedOn w:val="27"/>
    <w:link w:val="18"/>
    <w:qFormat/>
    <w:uiPriority w:val="0"/>
    <w:rPr>
      <w:rFonts w:eastAsia="Times New Roman"/>
      <w:lang w:eastAsia="en-US"/>
    </w:rPr>
  </w:style>
  <w:style w:type="character" w:customStyle="1" w:styleId="44">
    <w:name w:val="Endnote Text Char"/>
    <w:basedOn w:val="27"/>
    <w:link w:val="14"/>
    <w:qFormat/>
    <w:uiPriority w:val="0"/>
    <w:rPr>
      <w:rFonts w:eastAsia="Times New Roman"/>
      <w:lang w:eastAsia="en-US"/>
    </w:rPr>
  </w:style>
  <w:style w:type="character" w:customStyle="1" w:styleId="45">
    <w:name w:val="apple-converted-space"/>
    <w:basedOn w:val="27"/>
    <w:qFormat/>
    <w:uiPriority w:val="0"/>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paragraph" w:customStyle="1" w:styleId="47">
    <w:name w:val="TF"/>
    <w:basedOn w:val="1"/>
    <w:link w:val="48"/>
    <w:qFormat/>
    <w:uiPriority w:val="0"/>
    <w:pPr>
      <w:keepLines/>
      <w:spacing w:after="240"/>
      <w:jc w:val="center"/>
    </w:pPr>
    <w:rPr>
      <w:rFonts w:ascii="Arial" w:hAnsi="Arial" w:eastAsia="MS Mincho"/>
      <w:b/>
      <w:szCs w:val="20"/>
      <w:lang w:val="en-GB"/>
    </w:rPr>
  </w:style>
  <w:style w:type="character" w:customStyle="1" w:styleId="48">
    <w:name w:val="TF Char"/>
    <w:basedOn w:val="27"/>
    <w:link w:val="47"/>
    <w:qFormat/>
    <w:uiPriority w:val="0"/>
    <w:rPr>
      <w:rFonts w:ascii="Arial" w:hAnsi="Arial" w:eastAsia="MS Mincho"/>
      <w:b/>
      <w:lang w:val="en-GB" w:eastAsia="en-US"/>
    </w:rPr>
  </w:style>
  <w:style w:type="character" w:customStyle="1" w:styleId="49">
    <w:name w:val="Header Char"/>
    <w:basedOn w:val="27"/>
    <w:link w:val="17"/>
    <w:qFormat/>
    <w:uiPriority w:val="0"/>
    <w:rPr>
      <w:rFonts w:ascii="Arial" w:hAnsi="Arial" w:eastAsia="MS Mincho"/>
      <w:b/>
      <w:szCs w:val="24"/>
      <w:lang w:eastAsia="en-US"/>
    </w:rPr>
  </w:style>
  <w:style w:type="paragraph" w:customStyle="1" w:styleId="50">
    <w:name w:val="NO"/>
    <w:basedOn w:val="1"/>
    <w:link w:val="51"/>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1">
    <w:name w:val="NO Char1"/>
    <w:link w:val="50"/>
    <w:qFormat/>
    <w:uiPriority w:val="0"/>
    <w:rPr>
      <w:rFonts w:eastAsia="Times New Roman"/>
      <w:lang w:val="en-GB" w:eastAsia="en-US"/>
    </w:rPr>
  </w:style>
  <w:style w:type="paragraph" w:customStyle="1" w:styleId="52">
    <w:name w:val="B1"/>
    <w:basedOn w:val="13"/>
    <w:link w:val="55"/>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3">
    <w:name w:val="B2"/>
    <w:basedOn w:val="12"/>
    <w:link w:val="56"/>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4">
    <w:name w:val="B3"/>
    <w:basedOn w:val="8"/>
    <w:link w:val="5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5">
    <w:name w:val="B1 Char"/>
    <w:link w:val="52"/>
    <w:qFormat/>
    <w:uiPriority w:val="0"/>
    <w:rPr>
      <w:rFonts w:eastAsiaTheme="minorEastAsia"/>
      <w:lang w:val="en-GB"/>
    </w:rPr>
  </w:style>
  <w:style w:type="character" w:customStyle="1" w:styleId="56">
    <w:name w:val="B2 Char"/>
    <w:link w:val="53"/>
    <w:qFormat/>
    <w:uiPriority w:val="0"/>
    <w:rPr>
      <w:rFonts w:eastAsiaTheme="minorEastAsia"/>
      <w:lang w:val="en-GB"/>
    </w:rPr>
  </w:style>
  <w:style w:type="character" w:customStyle="1" w:styleId="57">
    <w:name w:val="B3 Char"/>
    <w:link w:val="54"/>
    <w:qFormat/>
    <w:uiPriority w:val="0"/>
    <w:rPr>
      <w:rFonts w:eastAsiaTheme="minorEastAsia"/>
      <w:lang w:val="en-GB"/>
    </w:rPr>
  </w:style>
  <w:style w:type="paragraph" w:customStyle="1" w:styleId="58">
    <w:name w:val="B4"/>
    <w:basedOn w:val="20"/>
    <w:link w:val="5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59">
    <w:name w:val="B4 Char"/>
    <w:link w:val="58"/>
    <w:qFormat/>
    <w:uiPriority w:val="0"/>
    <w:rPr>
      <w:rFonts w:eastAsiaTheme="minorEastAsia"/>
      <w:lang w:val="en-GB"/>
    </w:rPr>
  </w:style>
  <w:style w:type="paragraph" w:customStyle="1" w:styleId="6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1">
    <w:name w:val="Guidance"/>
    <w:basedOn w:val="1"/>
    <w:qFormat/>
    <w:uiPriority w:val="0"/>
    <w:pPr>
      <w:spacing w:after="180"/>
    </w:pPr>
    <w:rPr>
      <w:rFonts w:eastAsia="Malgun Gothic"/>
      <w:i/>
      <w:color w:val="0000FF"/>
      <w:szCs w:val="20"/>
      <w:lang w:val="en-GB"/>
    </w:rPr>
  </w:style>
  <w:style w:type="character" w:customStyle="1" w:styleId="62">
    <w:name w:val="Comment Text Char"/>
    <w:link w:val="11"/>
    <w:qFormat/>
    <w:uiPriority w:val="99"/>
    <w:rPr>
      <w:rFonts w:eastAsia="Times New Roman"/>
      <w:szCs w:val="24"/>
      <w:lang w:eastAsia="en-US"/>
    </w:rPr>
  </w:style>
  <w:style w:type="paragraph" w:customStyle="1" w:styleId="63">
    <w:name w:val="text intend 1"/>
    <w:basedOn w:val="1"/>
    <w:qFormat/>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4">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5">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6">
    <w:name w:val="Heading 5 Char"/>
    <w:basedOn w:val="27"/>
    <w:link w:val="7"/>
    <w:semiHidden/>
    <w:qFormat/>
    <w:uiPriority w:val="0"/>
    <w:rPr>
      <w:rFonts w:eastAsia="Times New Roman"/>
      <w:b/>
      <w:bCs/>
      <w:sz w:val="28"/>
      <w:szCs w:val="28"/>
      <w:lang w:eastAsia="en-US"/>
    </w:rPr>
  </w:style>
  <w:style w:type="character" w:customStyle="1" w:styleId="67">
    <w:name w:val="NO Char"/>
    <w:qFormat/>
    <w:uiPriority w:val="0"/>
    <w:rPr>
      <w:lang w:val="en-GB" w:eastAsia="en-US"/>
    </w:rPr>
  </w:style>
  <w:style w:type="paragraph" w:customStyle="1" w:styleId="68">
    <w:name w:val="EQ"/>
    <w:basedOn w:val="1"/>
    <w:next w:val="1"/>
    <w:uiPriority w:val="0"/>
    <w:pPr>
      <w:keepLines/>
      <w:tabs>
        <w:tab w:val="center" w:pos="4536"/>
        <w:tab w:val="right" w:pos="9072"/>
      </w:tabs>
      <w:spacing w:after="180"/>
    </w:pPr>
    <w:rPr>
      <w:rFonts w:eastAsiaTheme="minorEastAsia"/>
      <w:szCs w:val="20"/>
      <w:lang w:val="en-GB"/>
    </w:rPr>
  </w:style>
  <w:style w:type="character" w:customStyle="1" w:styleId="69">
    <w:name w:val="B1 Zchn"/>
    <w:uiPriority w:val="0"/>
    <w:rPr>
      <w:lang w:eastAsia="en-US"/>
    </w:rPr>
  </w:style>
  <w:style w:type="paragraph" w:customStyle="1" w:styleId="70">
    <w:name w:val="text intend 2"/>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1">
    <w:name w:val="TAH"/>
    <w:basedOn w:val="72"/>
    <w:link w:val="75"/>
    <w:qFormat/>
    <w:uiPriority w:val="0"/>
    <w:rPr>
      <w:b/>
    </w:rPr>
  </w:style>
  <w:style w:type="paragraph" w:customStyle="1" w:styleId="72">
    <w:name w:val="TAC"/>
    <w:basedOn w:val="1"/>
    <w:link w:val="74"/>
    <w:qFormat/>
    <w:uiPriority w:val="0"/>
    <w:pPr>
      <w:keepNext/>
      <w:keepLines/>
      <w:jc w:val="center"/>
    </w:pPr>
    <w:rPr>
      <w:rFonts w:ascii="Arial" w:hAnsi="Arial" w:eastAsia="Malgun Gothic"/>
      <w:sz w:val="18"/>
      <w:szCs w:val="20"/>
      <w:lang w:val="en-GB"/>
    </w:rPr>
  </w:style>
  <w:style w:type="paragraph" w:customStyle="1" w:styleId="73">
    <w:name w:val="TH"/>
    <w:basedOn w:val="1"/>
    <w:link w:val="76"/>
    <w:qFormat/>
    <w:uiPriority w:val="0"/>
    <w:pPr>
      <w:keepNext/>
      <w:keepLines/>
      <w:spacing w:before="60" w:after="180"/>
      <w:jc w:val="center"/>
    </w:pPr>
    <w:rPr>
      <w:rFonts w:ascii="Arial" w:hAnsi="Arial" w:eastAsia="Malgun Gothic"/>
      <w:b/>
      <w:szCs w:val="20"/>
      <w:lang w:val="en-GB"/>
    </w:rPr>
  </w:style>
  <w:style w:type="character" w:customStyle="1" w:styleId="74">
    <w:name w:val="TAC Char"/>
    <w:link w:val="72"/>
    <w:qFormat/>
    <w:uiPriority w:val="0"/>
    <w:rPr>
      <w:rFonts w:ascii="Arial" w:hAnsi="Arial" w:eastAsia="Malgun Gothic"/>
      <w:sz w:val="18"/>
      <w:lang w:val="en-GB" w:eastAsia="en-US"/>
    </w:rPr>
  </w:style>
  <w:style w:type="character" w:customStyle="1" w:styleId="75">
    <w:name w:val="TAH Car"/>
    <w:link w:val="71"/>
    <w:qFormat/>
    <w:uiPriority w:val="0"/>
    <w:rPr>
      <w:rFonts w:ascii="Arial" w:hAnsi="Arial" w:eastAsia="Malgun Gothic"/>
      <w:b/>
      <w:sz w:val="18"/>
      <w:lang w:val="en-GB" w:eastAsia="en-US"/>
    </w:rPr>
  </w:style>
  <w:style w:type="character" w:customStyle="1" w:styleId="76">
    <w:name w:val="TH Char"/>
    <w:link w:val="73"/>
    <w:qFormat/>
    <w:uiPriority w:val="0"/>
    <w:rPr>
      <w:rFonts w:ascii="Arial" w:hAnsi="Arial" w:eastAsia="Malgun Gothic"/>
      <w:b/>
      <w:lang w:val="en-GB" w:eastAsia="en-US"/>
    </w:rPr>
  </w:style>
  <w:style w:type="paragraph" w:customStyle="1" w:styleId="77">
    <w:name w:val="text"/>
    <w:basedOn w:val="1"/>
    <w:link w:val="79"/>
    <w:qFormat/>
    <w:uiPriority w:val="0"/>
    <w:pPr>
      <w:widowControl w:val="0"/>
      <w:spacing w:after="240"/>
      <w:jc w:val="both"/>
    </w:pPr>
    <w:rPr>
      <w:rFonts w:ascii="Calibri" w:hAnsi="Calibri" w:eastAsia="宋体"/>
      <w:kern w:val="2"/>
      <w:sz w:val="24"/>
      <w:szCs w:val="20"/>
      <w:lang w:eastAsia="zh-CN"/>
    </w:rPr>
  </w:style>
  <w:style w:type="paragraph" w:customStyle="1" w:styleId="78">
    <w:name w:val="bullet1"/>
    <w:basedOn w:val="77"/>
    <w:link w:val="81"/>
    <w:qFormat/>
    <w:uiPriority w:val="0"/>
    <w:pPr>
      <w:widowControl/>
      <w:numPr>
        <w:ilvl w:val="0"/>
        <w:numId w:val="6"/>
      </w:numPr>
      <w:spacing w:after="0"/>
      <w:jc w:val="left"/>
    </w:pPr>
    <w:rPr>
      <w:szCs w:val="24"/>
      <w:lang w:val="en-GB"/>
    </w:rPr>
  </w:style>
  <w:style w:type="character" w:customStyle="1" w:styleId="79">
    <w:name w:val="text Char"/>
    <w:link w:val="77"/>
    <w:uiPriority w:val="0"/>
    <w:rPr>
      <w:rFonts w:ascii="Calibri" w:hAnsi="Calibri" w:eastAsia="宋体"/>
      <w:kern w:val="2"/>
      <w:sz w:val="24"/>
    </w:rPr>
  </w:style>
  <w:style w:type="paragraph" w:customStyle="1" w:styleId="80">
    <w:name w:val="bullet2"/>
    <w:basedOn w:val="77"/>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1">
    <w:name w:val="bullet1 Char"/>
    <w:link w:val="78"/>
    <w:qFormat/>
    <w:uiPriority w:val="0"/>
    <w:rPr>
      <w:rFonts w:ascii="Calibri" w:hAnsi="Calibri"/>
      <w:kern w:val="2"/>
      <w:sz w:val="24"/>
      <w:szCs w:val="24"/>
      <w:lang w:val="en-GB"/>
    </w:rPr>
  </w:style>
  <w:style w:type="paragraph" w:customStyle="1" w:styleId="82">
    <w:name w:val="bullet3"/>
    <w:basedOn w:val="77"/>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3">
    <w:name w:val="bullet4"/>
    <w:basedOn w:val="77"/>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TAL"/>
    <w:basedOn w:val="1"/>
    <w:link w:val="85"/>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5">
    <w:name w:val="TAL Car"/>
    <w:link w:val="84"/>
    <w:qFormat/>
    <w:uiPriority w:val="0"/>
    <w:rPr>
      <w:rFonts w:ascii="Arial" w:hAnsi="Arial" w:eastAsia="Times New Roman"/>
      <w:sz w:val="18"/>
      <w:lang w:val="en-GB" w:eastAsia="ja-JP"/>
    </w:rPr>
  </w:style>
  <w:style w:type="paragraph" w:customStyle="1" w:styleId="8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7">
    <w:name w:val="PL Char"/>
    <w:link w:val="86"/>
    <w:qFormat/>
    <w:uiPriority w:val="0"/>
    <w:rPr>
      <w:rFonts w:ascii="Courier New" w:hAnsi="Courier New" w:eastAsia="Times New Roman"/>
      <w:sz w:val="16"/>
    </w:rPr>
  </w:style>
  <w:style w:type="character" w:customStyle="1" w:styleId="88">
    <w:name w:val="Heading 1 Char"/>
    <w:basedOn w:val="27"/>
    <w:link w:val="2"/>
    <w:qFormat/>
    <w:uiPriority w:val="0"/>
    <w:rPr>
      <w:rFonts w:ascii="Arial" w:hAnsi="Arial" w:cs="Arial"/>
      <w:b/>
      <w:bCs/>
      <w:kern w:val="32"/>
      <w:sz w:val="28"/>
      <w:szCs w:val="32"/>
    </w:rPr>
  </w:style>
  <w:style w:type="character" w:customStyle="1" w:styleId="89">
    <w:name w:val="Heading 2 Char"/>
    <w:basedOn w:val="27"/>
    <w:link w:val="4"/>
    <w:qFormat/>
    <w:uiPriority w:val="0"/>
    <w:rPr>
      <w:rFonts w:ascii="Arial" w:hAnsi="Arial" w:eastAsia="MS Mincho" w:cs="Arial"/>
      <w:b/>
      <w:bCs/>
      <w:iCs/>
      <w:szCs w:val="28"/>
    </w:rPr>
  </w:style>
  <w:style w:type="character" w:customStyle="1" w:styleId="90">
    <w:name w:val="B1 Char1"/>
    <w:qFormat/>
    <w:uiPriority w:val="0"/>
    <w:rPr>
      <w:lang w:val="en-GB" w:eastAsia="en-US"/>
    </w:rPr>
  </w:style>
  <w:style w:type="paragraph" w:customStyle="1" w:styleId="91">
    <w:name w:val="B6"/>
    <w:basedOn w:val="60"/>
    <w:uiPriority w:val="0"/>
    <w:pPr>
      <w:overflowPunct/>
      <w:autoSpaceDE/>
      <w:autoSpaceDN/>
      <w:adjustRightInd/>
      <w:ind w:left="1985"/>
      <w:textAlignment w:val="auto"/>
    </w:pPr>
    <w:rPr>
      <w:rFonts w:eastAsia="Malgun Gothic"/>
      <w:lang w:eastAsia="en-US"/>
    </w:rPr>
  </w:style>
  <w:style w:type="character" w:styleId="92">
    <w:name w:val="Placeholder Text"/>
    <w:basedOn w:val="2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97DD4-0B7B-4169-8EF9-C816C456EE79}">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2436</Words>
  <Characters>13886</Characters>
  <Lines>115</Lines>
  <Paragraphs>32</Paragraphs>
  <TotalTime>1</TotalTime>
  <ScaleCrop>false</ScaleCrop>
  <LinksUpToDate>false</LinksUpToDate>
  <CharactersWithSpaces>16290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2019-05-02T09:05:00Z</dcterms:created>
  <dc:creator>DaTang Mobile</dc:creator>
  <cp:lastModifiedBy>ChenHao</cp:lastModifiedBy>
  <cp:lastPrinted>2007-08-28T14:45:00Z</cp:lastPrinted>
  <dcterms:modified xsi:type="dcterms:W3CDTF">2019-05-03T00:20:17Z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